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98BEC" w14:textId="467DA222"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723734">
        <w:rPr>
          <w:rFonts w:ascii="Arial" w:hAnsi="Arial" w:cs="Arial"/>
          <w:b/>
          <w:bCs/>
          <w:sz w:val="24"/>
          <w:szCs w:val="24"/>
        </w:rPr>
        <w:t>4773</w:t>
      </w:r>
    </w:p>
    <w:p w14:paraId="58D9C5C8" w14:textId="23478E5D"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 xml:space="preserve">Sanya, </w:t>
      </w:r>
      <w:r w:rsidR="00313B50">
        <w:rPr>
          <w:rFonts w:ascii="Arial" w:hAnsi="Arial" w:cs="Arial"/>
          <w:b/>
          <w:bCs/>
          <w:sz w:val="24"/>
          <w:szCs w:val="24"/>
        </w:rPr>
        <w:t>P. R.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35857CF9" w14:textId="77777777" w:rsidR="005D5F52" w:rsidRDefault="005D5F52" w:rsidP="005D5F52">
      <w:pPr>
        <w:keepNext/>
        <w:tabs>
          <w:tab w:val="right" w:pos="9638"/>
        </w:tabs>
      </w:pPr>
      <w:r w:rsidRPr="00F76B76">
        <w:rPr>
          <w:rFonts w:ascii="Arial" w:hAnsi="Arial" w:cs="Arial"/>
          <w:b/>
          <w:bCs/>
          <w:sz w:val="24"/>
          <w:szCs w:val="24"/>
        </w:rPr>
        <w:t xml:space="preserve"> </w:t>
      </w:r>
    </w:p>
    <w:p w14:paraId="5D1824D6" w14:textId="61F3EF48"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6D2D42">
        <w:rPr>
          <w:rFonts w:ascii="Arial" w:hAnsi="Arial" w:cs="Arial"/>
          <w:b/>
        </w:rPr>
        <w:t>Intel</w:t>
      </w:r>
    </w:p>
    <w:p w14:paraId="024A116B" w14:textId="096D6918"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99348D">
        <w:rPr>
          <w:rFonts w:ascii="Arial" w:hAnsi="Arial" w:cs="Arial"/>
          <w:b/>
        </w:rPr>
        <w:t>Discussion on Interworking options</w:t>
      </w:r>
      <w:r w:rsidR="006D2D42">
        <w:rPr>
          <w:rFonts w:ascii="Arial" w:hAnsi="Arial" w:cs="Arial"/>
          <w:b/>
        </w:rPr>
        <w:t xml:space="preserve"> </w:t>
      </w:r>
    </w:p>
    <w:p w14:paraId="6E8AEA05" w14:textId="259ACC05"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1C769D">
        <w:rPr>
          <w:rFonts w:ascii="Arial" w:hAnsi="Arial" w:cs="Arial"/>
          <w:b/>
        </w:rPr>
        <w:t xml:space="preserve">Discussion / </w:t>
      </w:r>
      <w:r>
        <w:rPr>
          <w:rFonts w:ascii="Arial" w:hAnsi="Arial" w:cs="Arial"/>
          <w:b/>
        </w:rPr>
        <w:t>Approval</w:t>
      </w:r>
    </w:p>
    <w:p w14:paraId="6240ABD7" w14:textId="3EE5996A"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w:t>
      </w:r>
      <w:r w:rsidR="0099348D">
        <w:rPr>
          <w:rFonts w:ascii="Arial" w:hAnsi="Arial" w:cs="Arial"/>
          <w:b/>
        </w:rPr>
        <w:t>18</w:t>
      </w:r>
    </w:p>
    <w:p w14:paraId="660D48C5"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26AD9C76" w14:textId="5E956D9B"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 xml:space="preserve">This contribution </w:t>
      </w:r>
      <w:r w:rsidR="0099348D">
        <w:rPr>
          <w:rFonts w:ascii="Arial" w:hAnsi="Arial" w:cs="Arial"/>
          <w:i/>
        </w:rPr>
        <w:t>discusses the notions of “loose” and “tight” interworking</w:t>
      </w:r>
      <w:r w:rsidR="001C769D">
        <w:rPr>
          <w:rFonts w:ascii="Arial" w:hAnsi="Arial" w:cs="Arial"/>
          <w:i/>
        </w:rPr>
        <w:t xml:space="preserve"> and proposes to liaise the RAN groups asking them to study the feasibility of “dual radio / dual attach” solutions.</w:t>
      </w:r>
    </w:p>
    <w:p w14:paraId="6D582E1C" w14:textId="77777777" w:rsidR="005D5F52" w:rsidRDefault="005D5F52" w:rsidP="005D5F52">
      <w:pPr>
        <w:pStyle w:val="Heading1"/>
      </w:pPr>
      <w:r>
        <w:t>1</w:t>
      </w:r>
      <w:r>
        <w:tab/>
        <w:t>Introduction</w:t>
      </w:r>
    </w:p>
    <w:p w14:paraId="6AEDE0CE" w14:textId="05407CA3" w:rsidR="00031719" w:rsidRDefault="0064655E" w:rsidP="00031719">
      <w:pPr>
        <w:rPr>
          <w:lang w:eastAsia="ja-JP"/>
        </w:rPr>
      </w:pPr>
      <w:r>
        <w:rPr>
          <w:lang w:eastAsia="ja-JP"/>
        </w:rPr>
        <w:t>The interworking solutions currently documented in TR 23.799 can be categorised in four levels of interworking, starting for “loosest” to “tightest”, as follows:</w:t>
      </w:r>
    </w:p>
    <w:p w14:paraId="2233CDEE" w14:textId="2EFE9E69" w:rsidR="0064655E" w:rsidRPr="0064655E" w:rsidRDefault="0064655E" w:rsidP="0064655E">
      <w:pPr>
        <w:rPr>
          <w:lang w:eastAsia="ja-JP"/>
        </w:rPr>
      </w:pPr>
      <w:r w:rsidRPr="00391422">
        <w:rPr>
          <w:b/>
          <w:lang w:eastAsia="ja-JP"/>
        </w:rPr>
        <w:t>Level 1</w:t>
      </w:r>
      <w:r w:rsidR="00391422" w:rsidRPr="00391422">
        <w:rPr>
          <w:b/>
          <w:lang w:eastAsia="ja-JP"/>
        </w:rPr>
        <w:t xml:space="preserve"> (“loosest”)</w:t>
      </w:r>
      <w:r w:rsidRPr="0064655E">
        <w:rPr>
          <w:lang w:eastAsia="ja-JP"/>
        </w:rPr>
        <w:t>: EPC and NG Core have interface to a “common HSS” only (S6a-like interfaces). No IP address preservation.</w:t>
      </w:r>
      <w:r>
        <w:rPr>
          <w:lang w:eastAsia="ja-JP"/>
        </w:rPr>
        <w:t xml:space="preserve"> Service continuity can be achieved using “upper layer” mechanisms (SIP, DASH, etc.), as described in Service Continuity solution 6.1. An example is the </w:t>
      </w:r>
      <w:r w:rsidR="00EF5FC8">
        <w:rPr>
          <w:lang w:eastAsia="ja-JP"/>
        </w:rPr>
        <w:t xml:space="preserve">IWK </w:t>
      </w:r>
      <w:r>
        <w:rPr>
          <w:lang w:eastAsia="ja-JP"/>
        </w:rPr>
        <w:t>solution depicted in Figure 6.18.4.1-2 (without the “PGW / IP anchor”</w:t>
      </w:r>
      <w:r w:rsidR="00691BA3">
        <w:rPr>
          <w:lang w:eastAsia="ja-JP"/>
        </w:rPr>
        <w:t>; refer to the Annex of this paper</w:t>
      </w:r>
      <w:r>
        <w:rPr>
          <w:lang w:eastAsia="ja-JP"/>
        </w:rPr>
        <w:t xml:space="preserve">). If NR </w:t>
      </w:r>
      <w:r w:rsidR="00675B05">
        <w:rPr>
          <w:lang w:eastAsia="ja-JP"/>
        </w:rPr>
        <w:t xml:space="preserve">in the UE </w:t>
      </w:r>
      <w:r>
        <w:rPr>
          <w:lang w:eastAsia="ja-JP"/>
        </w:rPr>
        <w:t>can temporarily operate in parallel with the legacy radio</w:t>
      </w:r>
      <w:r w:rsidR="00EF5FC8">
        <w:rPr>
          <w:lang w:eastAsia="ja-JP"/>
        </w:rPr>
        <w:t xml:space="preserve"> </w:t>
      </w:r>
      <w:r w:rsidR="00691BA3">
        <w:rPr>
          <w:lang w:eastAsia="ja-JP"/>
        </w:rPr>
        <w:t xml:space="preserve">allowing the UE to attach on the target side while remaining attached on the source side </w:t>
      </w:r>
      <w:r w:rsidR="00EF5FC8">
        <w:rPr>
          <w:lang w:eastAsia="ja-JP"/>
        </w:rPr>
        <w:t>(a.k.a. “dual radio / dual attach”)</w:t>
      </w:r>
      <w:r>
        <w:rPr>
          <w:lang w:eastAsia="ja-JP"/>
        </w:rPr>
        <w:t>, service continuity can</w:t>
      </w:r>
      <w:r w:rsidR="00EF5FC8">
        <w:rPr>
          <w:lang w:eastAsia="ja-JP"/>
        </w:rPr>
        <w:t xml:space="preserve"> be achieved in “make-before-break” manner. Otherwise, service continuity may still be provided in “break-before-make” manner, but the service break may not be acceptable to some services.</w:t>
      </w:r>
      <w:r>
        <w:rPr>
          <w:lang w:eastAsia="ja-JP"/>
        </w:rPr>
        <w:t xml:space="preserve"> </w:t>
      </w:r>
    </w:p>
    <w:p w14:paraId="386FF38F" w14:textId="790FEF8B" w:rsidR="0064655E" w:rsidRPr="0064655E" w:rsidRDefault="0064655E" w:rsidP="0064655E">
      <w:pPr>
        <w:rPr>
          <w:lang w:eastAsia="ja-JP"/>
        </w:rPr>
      </w:pPr>
      <w:r w:rsidRPr="00391422">
        <w:rPr>
          <w:b/>
          <w:lang w:eastAsia="ja-JP"/>
        </w:rPr>
        <w:t>Level 2</w:t>
      </w:r>
      <w:r w:rsidR="00391422" w:rsidRPr="00391422">
        <w:rPr>
          <w:b/>
          <w:lang w:eastAsia="ja-JP"/>
        </w:rPr>
        <w:t xml:space="preserve"> (“loose</w:t>
      </w:r>
      <w:r w:rsidR="00391422">
        <w:rPr>
          <w:b/>
          <w:lang w:eastAsia="ja-JP"/>
        </w:rPr>
        <w:t>r</w:t>
      </w:r>
      <w:r w:rsidR="00391422" w:rsidRPr="00391422">
        <w:rPr>
          <w:b/>
          <w:lang w:eastAsia="ja-JP"/>
        </w:rPr>
        <w:t>”)</w:t>
      </w:r>
      <w:r w:rsidRPr="0064655E">
        <w:rPr>
          <w:lang w:eastAsia="ja-JP"/>
        </w:rPr>
        <w:t>: EPC and NG Core have interfaces to a “common HSS” (S6-like</w:t>
      </w:r>
      <w:r w:rsidR="00691BA3">
        <w:rPr>
          <w:lang w:eastAsia="ja-JP"/>
        </w:rPr>
        <w:t xml:space="preserve"> interfaces</w:t>
      </w:r>
      <w:r w:rsidRPr="0064655E">
        <w:rPr>
          <w:lang w:eastAsia="ja-JP"/>
        </w:rPr>
        <w:t>) and a “common PGW / IP anchor” (S5-like). IP address preservation is supported.</w:t>
      </w:r>
      <w:r w:rsidR="00EF5FC8">
        <w:rPr>
          <w:lang w:eastAsia="ja-JP"/>
        </w:rPr>
        <w:t xml:space="preserve"> An example is the IWK solution depicted in Figure 6.18.4.1-2 (</w:t>
      </w:r>
      <w:r w:rsidR="00391422">
        <w:rPr>
          <w:lang w:eastAsia="ja-JP"/>
        </w:rPr>
        <w:t>including</w:t>
      </w:r>
      <w:r w:rsidR="00EF5FC8">
        <w:rPr>
          <w:lang w:eastAsia="ja-JP"/>
        </w:rPr>
        <w:t xml:space="preserve"> the “PGW / IP anchor”)</w:t>
      </w:r>
      <w:r w:rsidR="00391422">
        <w:rPr>
          <w:lang w:eastAsia="ja-JP"/>
        </w:rPr>
        <w:t xml:space="preserve">. If NR </w:t>
      </w:r>
      <w:r w:rsidR="00675B05">
        <w:rPr>
          <w:lang w:eastAsia="ja-JP"/>
        </w:rPr>
        <w:t xml:space="preserve">in the UE </w:t>
      </w:r>
      <w:r w:rsidR="00391422">
        <w:rPr>
          <w:lang w:eastAsia="ja-JP"/>
        </w:rPr>
        <w:t>can temporarily operate in parallel with the legacy radio (a.k.a. “dual radio / dual attach”), service continuity with IP address preservation can be achieved in “make-before-break” manner. Otherwise, service continuity with IP address preservation may still be provided in “break-before-make” manner, but the service break may not be acceptable to some services (note that the service break time is still lower than with Level 1 interworking due to IP address preservation).</w:t>
      </w:r>
    </w:p>
    <w:p w14:paraId="39DF9575" w14:textId="4F19A6D4" w:rsidR="0064655E" w:rsidRDefault="0064655E" w:rsidP="0064655E">
      <w:pPr>
        <w:rPr>
          <w:lang w:eastAsia="ja-JP"/>
        </w:rPr>
      </w:pPr>
      <w:r w:rsidRPr="00391422">
        <w:rPr>
          <w:b/>
          <w:lang w:eastAsia="ja-JP"/>
        </w:rPr>
        <w:t>Level 3</w:t>
      </w:r>
      <w:r w:rsidR="00391422" w:rsidRPr="00391422">
        <w:rPr>
          <w:b/>
          <w:lang w:eastAsia="ja-JP"/>
        </w:rPr>
        <w:t xml:space="preserve"> (“tighter”)</w:t>
      </w:r>
      <w:r w:rsidRPr="0064655E">
        <w:rPr>
          <w:lang w:eastAsia="ja-JP"/>
        </w:rPr>
        <w:t xml:space="preserve">: </w:t>
      </w:r>
      <w:r w:rsidR="00391422" w:rsidRPr="0064655E">
        <w:rPr>
          <w:lang w:eastAsia="ja-JP"/>
        </w:rPr>
        <w:t>EPC and NG Core have interfaces</w:t>
      </w:r>
      <w:r w:rsidR="00391422">
        <w:rPr>
          <w:lang w:eastAsia="ja-JP"/>
        </w:rPr>
        <w:t xml:space="preserve"> to a “common HSS” (S6-like),</w:t>
      </w:r>
      <w:r w:rsidR="00391422" w:rsidRPr="0064655E">
        <w:rPr>
          <w:lang w:eastAsia="ja-JP"/>
        </w:rPr>
        <w:t xml:space="preserve"> a “common PGW / IP anchor” (S5-like)</w:t>
      </w:r>
      <w:r w:rsidR="00391422">
        <w:rPr>
          <w:lang w:eastAsia="ja-JP"/>
        </w:rPr>
        <w:t xml:space="preserve">, and </w:t>
      </w:r>
      <w:r w:rsidRPr="0064655E">
        <w:rPr>
          <w:lang w:eastAsia="ja-JP"/>
        </w:rPr>
        <w:t>have an “inter-MME” (</w:t>
      </w:r>
      <w:r w:rsidR="009F3EDF">
        <w:rPr>
          <w:lang w:eastAsia="ja-JP"/>
        </w:rPr>
        <w:t>S3</w:t>
      </w:r>
      <w:r w:rsidR="00691BA3">
        <w:rPr>
          <w:lang w:eastAsia="ja-JP"/>
        </w:rPr>
        <w:t>/</w:t>
      </w:r>
      <w:r w:rsidRPr="0064655E">
        <w:rPr>
          <w:lang w:eastAsia="ja-JP"/>
        </w:rPr>
        <w:t>S10-like) interface in common</w:t>
      </w:r>
      <w:r w:rsidR="009F3EDF">
        <w:rPr>
          <w:lang w:eastAsia="ja-JP"/>
        </w:rPr>
        <w:t>, including a U-plane interface for data forwarding</w:t>
      </w:r>
      <w:r w:rsidRPr="0064655E">
        <w:rPr>
          <w:lang w:eastAsia="ja-JP"/>
        </w:rPr>
        <w:t>.</w:t>
      </w:r>
      <w:r w:rsidR="00391422">
        <w:rPr>
          <w:lang w:eastAsia="ja-JP"/>
        </w:rPr>
        <w:t xml:space="preserve"> An example is the IWK solution depicted in Figure 6.18.2.1-2, and possibly the solution in Figure 6.18.5.1-1. The </w:t>
      </w:r>
      <w:r w:rsidR="005B28C0">
        <w:rPr>
          <w:lang w:eastAsia="ja-JP"/>
        </w:rPr>
        <w:t xml:space="preserve">former proposes to anchor all NG UEs in the NG Core, but other variants may also exist (e.g. anchoring the UE in the CN to which it initially attaches). Handover preparation and data forwarding between the two systems is possible, similar to inter-RAT handovers between LTE and 3G today. Details need to be studied related to QoS mapping, </w:t>
      </w:r>
      <w:r w:rsidR="00691BA3">
        <w:rPr>
          <w:lang w:eastAsia="ja-JP"/>
        </w:rPr>
        <w:t xml:space="preserve">security context transfer, </w:t>
      </w:r>
      <w:r w:rsidR="005B28C0">
        <w:rPr>
          <w:lang w:eastAsia="ja-JP"/>
        </w:rPr>
        <w:t>etc.</w:t>
      </w:r>
    </w:p>
    <w:p w14:paraId="709BC079" w14:textId="25FF0350" w:rsidR="0064655E" w:rsidRDefault="005B28C0" w:rsidP="00031719">
      <w:pPr>
        <w:rPr>
          <w:lang w:eastAsia="ja-JP"/>
        </w:rPr>
      </w:pPr>
      <w:r w:rsidRPr="005B28C0">
        <w:rPr>
          <w:b/>
          <w:lang w:eastAsia="ja-JP"/>
        </w:rPr>
        <w:t>Level 4 (“tightest”)</w:t>
      </w:r>
      <w:r>
        <w:rPr>
          <w:lang w:eastAsia="ja-JP"/>
        </w:rPr>
        <w:t>: In this approach the E-UTRAN is upgraded to support dual-radio stack (i.e. simultaneous support for both S1 and NG2/NG3 in the same cell)</w:t>
      </w:r>
      <w:r w:rsidR="008C16CB">
        <w:rPr>
          <w:lang w:eastAsia="ja-JP"/>
        </w:rPr>
        <w:t>. This approach corresponds to NGMN Option 3 and is also illustrated in Figure 6.18.2.1-1 and Figure 6.18.4.1-1</w:t>
      </w:r>
      <w:r>
        <w:rPr>
          <w:lang w:eastAsia="ja-JP"/>
        </w:rPr>
        <w:t>.</w:t>
      </w:r>
      <w:r w:rsidR="00C00584">
        <w:rPr>
          <w:lang w:eastAsia="ja-JP"/>
        </w:rPr>
        <w:t xml:space="preserve"> In this approach the NG UE is always anchored in the NG Core and “S1-type” handover is used for mobility between NR and eLTE (in this case both radio access networks are considered as NG RAN).</w:t>
      </w:r>
    </w:p>
    <w:p w14:paraId="206DDCCB" w14:textId="77777777" w:rsidR="005852CD" w:rsidRDefault="0088350D" w:rsidP="0088350D">
      <w:pPr>
        <w:pStyle w:val="Heading1"/>
        <w:rPr>
          <w:lang w:eastAsia="ja-JP"/>
        </w:rPr>
      </w:pPr>
      <w:r>
        <w:rPr>
          <w:lang w:eastAsia="ja-JP"/>
        </w:rPr>
        <w:t>2.</w:t>
      </w:r>
      <w:r>
        <w:rPr>
          <w:lang w:eastAsia="ja-JP"/>
        </w:rPr>
        <w:tab/>
      </w:r>
      <w:r w:rsidR="00C30470">
        <w:rPr>
          <w:rFonts w:hint="eastAsia"/>
          <w:lang w:eastAsia="ja-JP"/>
        </w:rPr>
        <w:t>Discussion</w:t>
      </w:r>
    </w:p>
    <w:p w14:paraId="0397D241" w14:textId="2621E956" w:rsidR="007C39C7" w:rsidRDefault="00202AD9" w:rsidP="00F16133">
      <w:pPr>
        <w:rPr>
          <w:lang w:eastAsia="ja-JP"/>
        </w:rPr>
      </w:pPr>
      <w:r>
        <w:rPr>
          <w:lang w:eastAsia="ja-JP"/>
        </w:rPr>
        <w:t xml:space="preserve">Level 4 IWK may be considered the target architecture in that </w:t>
      </w:r>
      <w:r w:rsidR="00691BA3">
        <w:rPr>
          <w:lang w:eastAsia="ja-JP"/>
        </w:rPr>
        <w:t xml:space="preserve">it </w:t>
      </w:r>
      <w:r>
        <w:rPr>
          <w:lang w:eastAsia="ja-JP"/>
        </w:rPr>
        <w:t>allows for consolidation of all NG UEs on the NG Core, regardless whether they connect via NR cell or LTE cell. Mobility is handled with “S1 type” handover and there is no need for QoS mapping. It also has zero impact on the NG Core. The drawback of this approach is that it may require significant initial investment for the upgrade of the legacy E-UTRAN.</w:t>
      </w:r>
    </w:p>
    <w:p w14:paraId="1A3452CF" w14:textId="41B0FFE4" w:rsidR="00202AD9" w:rsidRDefault="00202AD9" w:rsidP="00F16133">
      <w:pPr>
        <w:rPr>
          <w:lang w:eastAsia="ja-JP"/>
        </w:rPr>
      </w:pPr>
      <w:r>
        <w:rPr>
          <w:lang w:eastAsia="ja-JP"/>
        </w:rPr>
        <w:lastRenderedPageBreak/>
        <w:t>Level 1 and Level 2 IWK have minimum impact on the NG Core. Context transfer and QoS mapping between EPC and NG Core is not needed because mobility is handled using either “upper layer” mechanisms for service continuity (Level 1) or “Handover Attach” (Level 2). In either case the solution would benefit from “dual radio / dual attach” operation whereby the UE is temporarily connected in parallel via both systems in order to minimise the service break. As a bonus, Level 1 and Level 2 interworking (if feasible at radio level) would also allow for service continuity with 2G/3G, including the CS domain of 2G/3G (</w:t>
      </w:r>
      <w:r w:rsidR="00691BA3">
        <w:rPr>
          <w:lang w:eastAsia="ja-JP"/>
        </w:rPr>
        <w:t>by using existing DRVCC procedures</w:t>
      </w:r>
      <w:r>
        <w:rPr>
          <w:lang w:eastAsia="ja-JP"/>
        </w:rPr>
        <w:t>).</w:t>
      </w:r>
    </w:p>
    <w:p w14:paraId="6C31E968" w14:textId="04B51AAA" w:rsidR="00202AD9" w:rsidRDefault="00202AD9" w:rsidP="00F16133">
      <w:pPr>
        <w:rPr>
          <w:lang w:eastAsia="ja-JP"/>
        </w:rPr>
      </w:pPr>
      <w:r>
        <w:rPr>
          <w:lang w:eastAsia="ja-JP"/>
        </w:rPr>
        <w:t>Level 3 IWK solutions require an overhaul of the EPC for support of C-plane interworking interface</w:t>
      </w:r>
      <w:r w:rsidR="009F3EDF">
        <w:rPr>
          <w:lang w:eastAsia="ja-JP"/>
        </w:rPr>
        <w:t xml:space="preserve"> between the MME and the CP functions (à la S3/S10), as well as a U-plane interworking interface for data forwarding between the SGW and the UP</w:t>
      </w:r>
      <w:r>
        <w:rPr>
          <w:lang w:eastAsia="ja-JP"/>
        </w:rPr>
        <w:t xml:space="preserve"> </w:t>
      </w:r>
      <w:r w:rsidR="009F3EDF">
        <w:rPr>
          <w:lang w:eastAsia="ja-JP"/>
        </w:rPr>
        <w:t>functions. If this approach is standardised, and if Level 4 IWK is considered as the target architecture, it turns out that the migration to NG Core may result in the overhaul of both EPC and E-UTRAN, and will also bring significant legacy baggage in the NG Core! In our view this type of IWK options should be avoided, if possible.</w:t>
      </w:r>
      <w:r>
        <w:rPr>
          <w:lang w:eastAsia="ja-JP"/>
        </w:rPr>
        <w:t xml:space="preserve">  </w:t>
      </w:r>
    </w:p>
    <w:p w14:paraId="7269C234" w14:textId="30667F8D" w:rsidR="00E57063" w:rsidRDefault="0088350D" w:rsidP="0088350D">
      <w:pPr>
        <w:pStyle w:val="Heading1"/>
        <w:rPr>
          <w:lang w:eastAsia="ja-JP"/>
        </w:rPr>
      </w:pPr>
      <w:r>
        <w:rPr>
          <w:lang w:eastAsia="ja-JP"/>
        </w:rPr>
        <w:t>3</w:t>
      </w:r>
      <w:r>
        <w:rPr>
          <w:lang w:eastAsia="ja-JP"/>
        </w:rPr>
        <w:tab/>
      </w:r>
      <w:r w:rsidR="00550C79">
        <w:rPr>
          <w:lang w:eastAsia="ja-JP"/>
        </w:rPr>
        <w:t>P</w:t>
      </w:r>
      <w:r w:rsidR="00863065">
        <w:rPr>
          <w:rFonts w:hint="eastAsia"/>
          <w:lang w:eastAsia="ja-JP"/>
        </w:rPr>
        <w:t>roposal</w:t>
      </w:r>
    </w:p>
    <w:p w14:paraId="5E4C46BD" w14:textId="462E43EC" w:rsidR="00AA2AB7" w:rsidRDefault="00AA2AB7" w:rsidP="00AA2AB7">
      <w:pPr>
        <w:rPr>
          <w:lang w:eastAsia="ja-JP"/>
        </w:rPr>
      </w:pPr>
      <w:r w:rsidRPr="0091669A">
        <w:rPr>
          <w:rFonts w:hint="eastAsia"/>
          <w:lang w:eastAsia="ja-JP"/>
        </w:rPr>
        <w:t xml:space="preserve">As </w:t>
      </w:r>
      <w:r w:rsidR="009F3EDF">
        <w:rPr>
          <w:lang w:eastAsia="ja-JP"/>
        </w:rPr>
        <w:t xml:space="preserve">outlined in the discussion </w:t>
      </w:r>
      <w:r w:rsidR="00691BA3">
        <w:rPr>
          <w:lang w:eastAsia="ja-JP"/>
        </w:rPr>
        <w:t>section of this contribution</w:t>
      </w:r>
      <w:r w:rsidR="009F3EDF">
        <w:rPr>
          <w:lang w:eastAsia="ja-JP"/>
        </w:rPr>
        <w:t>, Level 1 and Level 2 IWK approaches have minimum impact on EPC and NG Core and are forward-compatible with the target architecture (Level 4 IWK)</w:t>
      </w:r>
      <w:r w:rsidR="006441BF">
        <w:rPr>
          <w:lang w:eastAsia="ja-JP"/>
        </w:rPr>
        <w:t xml:space="preserve"> that assumes an upgrade of the legacy E-UTRAN</w:t>
      </w:r>
      <w:r>
        <w:rPr>
          <w:rFonts w:hint="eastAsia"/>
          <w:lang w:eastAsia="ja-JP"/>
        </w:rPr>
        <w:t>.</w:t>
      </w:r>
      <w:r w:rsidR="006441BF">
        <w:rPr>
          <w:lang w:eastAsia="ja-JP"/>
        </w:rPr>
        <w:t xml:space="preserve"> It also provides service continuity with 2G/3G, including the 2G/3G CS domain. However, to minimise the service break, Level 1 / Level 2 IWK would greatly benefit from “dual radio / dual attach” operation.</w:t>
      </w:r>
    </w:p>
    <w:p w14:paraId="26B6BF40" w14:textId="54BE3C3A" w:rsidR="006441BF" w:rsidRDefault="006441BF" w:rsidP="00AA2AB7">
      <w:pPr>
        <w:rPr>
          <w:lang w:eastAsia="ja-JP"/>
        </w:rPr>
      </w:pPr>
      <w:r>
        <w:rPr>
          <w:lang w:eastAsia="ja-JP"/>
        </w:rPr>
        <w:t>From SA2 perspective the “dual radio / dual attach” operation is not a mystery – it has been used since Rel-8 for the purpose of 3GPP-WLAN interworking and is based on the “Handover Attach” procedure</w:t>
      </w:r>
      <w:r w:rsidR="00691BA3">
        <w:rPr>
          <w:lang w:eastAsia="ja-JP"/>
        </w:rPr>
        <w:t>, that allows for retrieval of the PGW via the HSS</w:t>
      </w:r>
      <w:r>
        <w:rPr>
          <w:lang w:eastAsia="ja-JP"/>
        </w:rPr>
        <w:t>.</w:t>
      </w:r>
      <w:r w:rsidR="00691BA3">
        <w:rPr>
          <w:lang w:eastAsia="ja-JP"/>
        </w:rPr>
        <w:t xml:space="preserve"> </w:t>
      </w:r>
      <w:r w:rsidR="000B261B">
        <w:rPr>
          <w:lang w:eastAsia="ja-JP"/>
        </w:rPr>
        <w:t>The common “PGW / IP anchor” controls the QoS handling independently on the source and target side and there is no need for QoS mapping anywhere in the downstream.</w:t>
      </w:r>
    </w:p>
    <w:p w14:paraId="474BCA53" w14:textId="0F208A7F" w:rsidR="006441BF" w:rsidRDefault="006441BF" w:rsidP="00AA2AB7">
      <w:pPr>
        <w:rPr>
          <w:lang w:eastAsia="ja-JP"/>
        </w:rPr>
      </w:pPr>
      <w:r>
        <w:rPr>
          <w:lang w:eastAsia="ja-JP"/>
        </w:rPr>
        <w:t>Dual radio interworking has also been defined for CSFB to 1xRTT (refer to TS 23.272 Annex B) with sub-flavours, such as Dual Rx / Single Tx or Dual Rx / Dual Tx.</w:t>
      </w:r>
    </w:p>
    <w:p w14:paraId="4DFD2B06" w14:textId="77777777" w:rsidR="006441BF" w:rsidRDefault="006441BF" w:rsidP="00AA2AB7">
      <w:pPr>
        <w:rPr>
          <w:lang w:eastAsia="ja-JP"/>
        </w:rPr>
      </w:pPr>
      <w:r>
        <w:rPr>
          <w:lang w:eastAsia="ja-JP"/>
        </w:rPr>
        <w:t>(As a side comment, it is also noted that non-standard “dual radio / dual SIM” terminals exist on the market, which proves the feasibility of such solutions even for 3GPP access on both sides. This said, it should be clear that “dual SIM” is outside the scope of this discussion.).</w:t>
      </w:r>
    </w:p>
    <w:p w14:paraId="67380ACE" w14:textId="2944E730" w:rsidR="00CE6BD9" w:rsidRDefault="006441BF" w:rsidP="00AA2AB7">
      <w:pPr>
        <w:rPr>
          <w:lang w:eastAsia="ja-JP"/>
        </w:rPr>
      </w:pPr>
      <w:r>
        <w:rPr>
          <w:lang w:eastAsia="ja-JP"/>
        </w:rPr>
        <w:t xml:space="preserve">Given the desirable characteristics of Level 1 / Level 2 type of interworking it is proposed to liaise the RAN groups asking them to study the feasibility of such solutions. SA2 </w:t>
      </w:r>
      <w:r w:rsidR="000B261B">
        <w:rPr>
          <w:lang w:eastAsia="ja-JP"/>
        </w:rPr>
        <w:t>should</w:t>
      </w:r>
      <w:r>
        <w:rPr>
          <w:lang w:eastAsia="ja-JP"/>
        </w:rPr>
        <w:t xml:space="preserve"> consider not rushing into conclusions in favour of Level 3 IWK until the RAN groups reply.</w:t>
      </w:r>
    </w:p>
    <w:p w14:paraId="7FCCCB81" w14:textId="7876820D" w:rsidR="00337E40" w:rsidRDefault="00337E40" w:rsidP="00AA2AB7">
      <w:pPr>
        <w:rPr>
          <w:lang w:eastAsia="ja-JP"/>
        </w:rPr>
      </w:pPr>
      <w:r>
        <w:rPr>
          <w:lang w:eastAsia="ja-JP"/>
        </w:rPr>
        <w:t>A draft liaison is provided in S2-16</w:t>
      </w:r>
      <w:r w:rsidR="00495CFB">
        <w:rPr>
          <w:lang w:eastAsia="ja-JP"/>
        </w:rPr>
        <w:t>4776</w:t>
      </w:r>
      <w:bookmarkStart w:id="3" w:name="_GoBack"/>
      <w:bookmarkEnd w:id="3"/>
      <w:r>
        <w:rPr>
          <w:lang w:eastAsia="ja-JP"/>
        </w:rPr>
        <w:t>.</w:t>
      </w:r>
    </w:p>
    <w:p w14:paraId="62E1D795" w14:textId="516E2A78" w:rsidR="00EF5FC8" w:rsidRDefault="00EF5FC8" w:rsidP="00EF5FC8">
      <w:pPr>
        <w:pStyle w:val="Heading1"/>
        <w:rPr>
          <w:lang w:eastAsia="ja-JP"/>
        </w:rPr>
      </w:pPr>
      <w:r>
        <w:rPr>
          <w:lang w:eastAsia="ja-JP"/>
        </w:rPr>
        <w:t>ANNEX</w:t>
      </w:r>
      <w:r>
        <w:rPr>
          <w:lang w:eastAsia="ja-JP"/>
        </w:rPr>
        <w:tab/>
        <w:t>Figures illustrating the four IWK levels</w:t>
      </w:r>
    </w:p>
    <w:p w14:paraId="0D18697E" w14:textId="43338587" w:rsidR="00EF5FC8" w:rsidRDefault="00EF5FC8" w:rsidP="00EF5FC8">
      <w:pPr>
        <w:rPr>
          <w:lang w:eastAsia="ja-JP"/>
        </w:rPr>
      </w:pPr>
    </w:p>
    <w:p w14:paraId="0A60230D" w14:textId="7E4F806A" w:rsidR="00EF5FC8" w:rsidRDefault="00EF5FC8" w:rsidP="00EF5FC8">
      <w:pPr>
        <w:rPr>
          <w:lang w:eastAsia="ja-JP"/>
        </w:rPr>
      </w:pPr>
      <w:r w:rsidRPr="00351AA5">
        <w:rPr>
          <w:b/>
          <w:highlight w:val="yellow"/>
          <w:lang w:eastAsia="ja-JP"/>
        </w:rPr>
        <w:t>Level 1 (“loosest”)</w:t>
      </w:r>
      <w:r>
        <w:rPr>
          <w:lang w:eastAsia="ja-JP"/>
        </w:rPr>
        <w:t>: Figure 6.18.4.1-2 without the “PGW / IP anchor”.</w:t>
      </w:r>
    </w:p>
    <w:p w14:paraId="534A2851" w14:textId="31584484" w:rsidR="00EF5FC8" w:rsidRDefault="00EF5FC8" w:rsidP="00EF5FC8">
      <w:pPr>
        <w:rPr>
          <w:lang w:eastAsia="ja-JP"/>
        </w:rPr>
      </w:pPr>
      <w:r w:rsidRPr="00351AA5">
        <w:rPr>
          <w:b/>
          <w:highlight w:val="yellow"/>
          <w:lang w:eastAsia="ja-JP"/>
        </w:rPr>
        <w:t>Level 2 (“loose</w:t>
      </w:r>
      <w:r w:rsidR="00391422">
        <w:rPr>
          <w:b/>
          <w:highlight w:val="yellow"/>
          <w:lang w:eastAsia="ja-JP"/>
        </w:rPr>
        <w:t>r</w:t>
      </w:r>
      <w:r w:rsidRPr="00351AA5">
        <w:rPr>
          <w:b/>
          <w:highlight w:val="yellow"/>
          <w:lang w:eastAsia="ja-JP"/>
        </w:rPr>
        <w:t>”)</w:t>
      </w:r>
      <w:r>
        <w:rPr>
          <w:lang w:eastAsia="ja-JP"/>
        </w:rPr>
        <w:t>: Figure 6.18.4.1-2 including the “PGW / IP anchor”.</w:t>
      </w:r>
    </w:p>
    <w:p w14:paraId="51D7E7BB" w14:textId="77777777" w:rsidR="00EF5FC8" w:rsidRDefault="00EF5FC8" w:rsidP="00AA2AB7">
      <w:pPr>
        <w:rPr>
          <w:lang w:eastAsia="ja-JP"/>
        </w:rPr>
      </w:pPr>
    </w:p>
    <w:p w14:paraId="124D4F1E" w14:textId="77777777" w:rsidR="00EF5FC8" w:rsidRPr="00573E6C" w:rsidRDefault="00EF5FC8" w:rsidP="00EF5FC8">
      <w:pPr>
        <w:pStyle w:val="TH"/>
      </w:pPr>
      <w:r w:rsidRPr="00573E6C">
        <w:object w:dxaOrig="8905" w:dyaOrig="5220" w14:anchorId="07779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183.6pt" o:ole="">
            <v:imagedata r:id="rId8" o:title=""/>
          </v:shape>
          <o:OLEObject Type="Embed" ProgID="Visio.Drawing.11" ShapeID="_x0000_i1025" DrawAspect="Content" ObjectID="_1533469982" r:id="rId9"/>
        </w:object>
      </w:r>
    </w:p>
    <w:p w14:paraId="3AE0EA05" w14:textId="77777777" w:rsidR="00EF5FC8" w:rsidRPr="00573E6C" w:rsidRDefault="00EF5FC8" w:rsidP="00EF5FC8">
      <w:pPr>
        <w:pStyle w:val="TF"/>
      </w:pPr>
      <w:r>
        <w:t>Figure 6.18.</w:t>
      </w:r>
      <w:r>
        <w:rPr>
          <w:rFonts w:hint="eastAsia"/>
          <w:lang w:eastAsia="zh-CN"/>
        </w:rPr>
        <w:t>4</w:t>
      </w:r>
      <w:r>
        <w:t>.1-2</w:t>
      </w:r>
      <w:r w:rsidRPr="00573E6C">
        <w:t xml:space="preserve">: </w:t>
      </w:r>
      <w:r>
        <w:t>Architecture for loose interworking between GERAN, UTRAN or non-evolved E-UTRAN and NG RAN</w:t>
      </w:r>
    </w:p>
    <w:p w14:paraId="72F7506F" w14:textId="110CF5C8" w:rsidR="00EF5FC8" w:rsidRDefault="00EF5FC8" w:rsidP="00EF5FC8">
      <w:pPr>
        <w:rPr>
          <w:lang w:eastAsia="ja-JP"/>
        </w:rPr>
      </w:pPr>
      <w:r w:rsidRPr="00351AA5">
        <w:rPr>
          <w:b/>
          <w:highlight w:val="yellow"/>
          <w:lang w:eastAsia="ja-JP"/>
        </w:rPr>
        <w:t>Level 3 (“tighter”)</w:t>
      </w:r>
      <w:r>
        <w:rPr>
          <w:lang w:eastAsia="ja-JP"/>
        </w:rPr>
        <w:t>: Figure 6.18.2.1-2</w:t>
      </w:r>
      <w:r w:rsidR="00351AA5">
        <w:rPr>
          <w:lang w:eastAsia="ja-JP"/>
        </w:rPr>
        <w:t xml:space="preserve">. The architecture in </w:t>
      </w:r>
      <w:r>
        <w:rPr>
          <w:lang w:eastAsia="ja-JP"/>
        </w:rPr>
        <w:t>Figure 6.18.</w:t>
      </w:r>
      <w:r w:rsidR="00351AA5">
        <w:rPr>
          <w:lang w:eastAsia="ja-JP"/>
        </w:rPr>
        <w:t>5</w:t>
      </w:r>
      <w:r>
        <w:rPr>
          <w:lang w:eastAsia="ja-JP"/>
        </w:rPr>
        <w:t>.1-1</w:t>
      </w:r>
      <w:r w:rsidR="00351AA5">
        <w:rPr>
          <w:lang w:eastAsia="ja-JP"/>
        </w:rPr>
        <w:t xml:space="preserve"> may also fall in this category, but we are not sure given that it is not described in sufficient detail</w:t>
      </w:r>
      <w:r>
        <w:rPr>
          <w:lang w:eastAsia="ja-JP"/>
        </w:rPr>
        <w:t>.</w:t>
      </w:r>
    </w:p>
    <w:bookmarkStart w:id="4" w:name="_MON_1403906490"/>
    <w:bookmarkStart w:id="5" w:name="_MON_1403906774"/>
    <w:bookmarkStart w:id="6" w:name="_MON_1403907909"/>
    <w:bookmarkStart w:id="7" w:name="_MON_1403909575"/>
    <w:bookmarkStart w:id="8" w:name="_MON_1403906369"/>
    <w:bookmarkEnd w:id="4"/>
    <w:bookmarkEnd w:id="5"/>
    <w:bookmarkEnd w:id="6"/>
    <w:bookmarkEnd w:id="7"/>
    <w:bookmarkEnd w:id="8"/>
    <w:bookmarkStart w:id="9" w:name="_MON_1403906451"/>
    <w:bookmarkEnd w:id="9"/>
    <w:p w14:paraId="428E4FF6" w14:textId="77777777" w:rsidR="00EF5FC8" w:rsidRDefault="00EF5FC8" w:rsidP="00EF5FC8">
      <w:pPr>
        <w:pStyle w:val="TH"/>
      </w:pPr>
      <w:r>
        <w:object w:dxaOrig="9680" w:dyaOrig="5000" w14:anchorId="03A3EB80">
          <v:shape id="_x0000_i1026" type="#_x0000_t75" style="width:478.8pt;height:246pt" o:ole="">
            <v:imagedata r:id="rId10" o:title=""/>
          </v:shape>
          <o:OLEObject Type="Embed" ProgID="Word.Picture.8" ShapeID="_x0000_i1026" DrawAspect="Content" ObjectID="_1533469983" r:id="rId11"/>
        </w:object>
      </w:r>
    </w:p>
    <w:p w14:paraId="689E6EA0" w14:textId="77777777" w:rsidR="00EF5FC8" w:rsidRPr="00573E6C" w:rsidRDefault="00EF5FC8" w:rsidP="00EF5FC8">
      <w:pPr>
        <w:pStyle w:val="TF"/>
      </w:pPr>
      <w:r>
        <w:t>Figure 6.18.</w:t>
      </w:r>
      <w:r>
        <w:rPr>
          <w:rFonts w:hint="eastAsia"/>
          <w:lang w:eastAsia="zh-CN"/>
        </w:rPr>
        <w:t>2</w:t>
      </w:r>
      <w:r>
        <w:t>.1-2</w:t>
      </w:r>
      <w:r w:rsidRPr="00573E6C">
        <w:t xml:space="preserve">: </w:t>
      </w:r>
      <w:r>
        <w:t xml:space="preserve">Architecture for interworking scenario I2. </w:t>
      </w:r>
    </w:p>
    <w:p w14:paraId="39B8F40E" w14:textId="77777777" w:rsidR="00EF5FC8" w:rsidRDefault="00EF5FC8" w:rsidP="00AA2AB7">
      <w:pPr>
        <w:rPr>
          <w:lang w:eastAsia="ja-JP"/>
        </w:rPr>
      </w:pPr>
    </w:p>
    <w:p w14:paraId="5EB6DE3B" w14:textId="77777777" w:rsidR="00EF5FC8" w:rsidRDefault="00EF5FC8" w:rsidP="00EF5FC8">
      <w:pPr>
        <w:pStyle w:val="TH"/>
      </w:pPr>
      <w:r>
        <w:object w:dxaOrig="5642" w:dyaOrig="4494" w14:anchorId="125EED00">
          <v:shape id="_x0000_i1027" type="#_x0000_t75" style="width:282pt;height:225pt" o:ole="">
            <v:imagedata r:id="rId12" o:title=""/>
          </v:shape>
          <o:OLEObject Type="Embed" ProgID="Visio.Drawing.11" ShapeID="_x0000_i1027" DrawAspect="Content" ObjectID="_1533469984" r:id="rId13"/>
        </w:object>
      </w:r>
    </w:p>
    <w:p w14:paraId="28787758" w14:textId="77777777" w:rsidR="00EF5FC8" w:rsidRDefault="00EF5FC8" w:rsidP="00EF5FC8">
      <w:pPr>
        <w:pStyle w:val="TF"/>
      </w:pPr>
      <w:r>
        <w:t>Figure 6.18.</w:t>
      </w:r>
      <w:r>
        <w:rPr>
          <w:rFonts w:hint="eastAsia"/>
          <w:lang w:eastAsia="zh-CN"/>
        </w:rPr>
        <w:t>5</w:t>
      </w:r>
      <w:r>
        <w:t>.1-1: Architecture to support migration scenarios for NG UEs</w:t>
      </w:r>
    </w:p>
    <w:p w14:paraId="60ED8046" w14:textId="77777777" w:rsidR="00EF5FC8" w:rsidRDefault="00EF5FC8" w:rsidP="00AA2AB7">
      <w:pPr>
        <w:rPr>
          <w:lang w:eastAsia="ja-JP"/>
        </w:rPr>
      </w:pPr>
    </w:p>
    <w:p w14:paraId="559BBE11" w14:textId="2365CB8F" w:rsidR="00EF5FC8" w:rsidRDefault="00EF5FC8" w:rsidP="00EF5FC8">
      <w:pPr>
        <w:rPr>
          <w:lang w:eastAsia="ja-JP"/>
        </w:rPr>
      </w:pPr>
      <w:r w:rsidRPr="00351AA5">
        <w:rPr>
          <w:b/>
          <w:highlight w:val="yellow"/>
          <w:lang w:eastAsia="ja-JP"/>
        </w:rPr>
        <w:t>Level 4 (“tightest”)</w:t>
      </w:r>
      <w:r>
        <w:rPr>
          <w:lang w:eastAsia="ja-JP"/>
        </w:rPr>
        <w:t>: Figure 6.18.2.1-1 and Figure 6.18.4.1-1.</w:t>
      </w:r>
    </w:p>
    <w:bookmarkStart w:id="10" w:name="_MON_1400163527"/>
    <w:bookmarkEnd w:id="10"/>
    <w:bookmarkStart w:id="11" w:name="_MON_1403778159"/>
    <w:bookmarkEnd w:id="11"/>
    <w:p w14:paraId="1B3D4A00" w14:textId="77777777" w:rsidR="00EF5FC8" w:rsidRDefault="00EF5FC8" w:rsidP="00EF5FC8">
      <w:pPr>
        <w:pStyle w:val="TH"/>
      </w:pPr>
      <w:r>
        <w:object w:dxaOrig="9680" w:dyaOrig="5000" w14:anchorId="57596324">
          <v:shape id="_x0000_i1028" type="#_x0000_t75" style="width:478.8pt;height:246pt" o:ole="">
            <v:imagedata r:id="rId14" o:title=""/>
          </v:shape>
          <o:OLEObject Type="Embed" ProgID="Word.Picture.8" ShapeID="_x0000_i1028" DrawAspect="Content" ObjectID="_1533469985" r:id="rId15"/>
        </w:object>
      </w:r>
    </w:p>
    <w:p w14:paraId="194CA763" w14:textId="77777777" w:rsidR="00EF5FC8" w:rsidRPr="00573E6C" w:rsidRDefault="00EF5FC8" w:rsidP="00EF5FC8">
      <w:pPr>
        <w:pStyle w:val="TF"/>
      </w:pPr>
      <w:r>
        <w:t>Figure 6.18.</w:t>
      </w:r>
      <w:r>
        <w:rPr>
          <w:rFonts w:hint="eastAsia"/>
          <w:lang w:eastAsia="zh-CN"/>
        </w:rPr>
        <w:t>2</w:t>
      </w:r>
      <w:r>
        <w:t>.1-</w:t>
      </w:r>
      <w:r w:rsidRPr="00573E6C">
        <w:t xml:space="preserve">1: </w:t>
      </w:r>
      <w:r>
        <w:t>Architecture for interworking for scenario I1</w:t>
      </w:r>
    </w:p>
    <w:p w14:paraId="60C012BF" w14:textId="77777777" w:rsidR="00EF5FC8" w:rsidRDefault="00EF5FC8" w:rsidP="00AA2AB7">
      <w:pPr>
        <w:rPr>
          <w:lang w:eastAsia="ja-JP"/>
        </w:rPr>
      </w:pPr>
    </w:p>
    <w:p w14:paraId="439C1343" w14:textId="77777777" w:rsidR="00EF5FC8" w:rsidRDefault="00EF5FC8" w:rsidP="00AA2AB7">
      <w:pPr>
        <w:rPr>
          <w:lang w:eastAsia="ja-JP"/>
        </w:rPr>
      </w:pPr>
    </w:p>
    <w:p w14:paraId="1FA27921" w14:textId="77777777" w:rsidR="00CE6BD9" w:rsidRPr="00573E6C" w:rsidRDefault="00CE6BD9" w:rsidP="00CE6BD9">
      <w:pPr>
        <w:pStyle w:val="TH"/>
      </w:pPr>
      <w:r w:rsidRPr="00573E6C">
        <w:object w:dxaOrig="8281" w:dyaOrig="5220" w14:anchorId="5855A989">
          <v:shape id="_x0000_i1029" type="#_x0000_t75" style="width:292.2pt;height:183.6pt" o:ole="">
            <v:imagedata r:id="rId16" o:title=""/>
          </v:shape>
          <o:OLEObject Type="Embed" ProgID="Visio.Drawing.11" ShapeID="_x0000_i1029" DrawAspect="Content" ObjectID="_1533469986" r:id="rId17"/>
        </w:object>
      </w:r>
    </w:p>
    <w:p w14:paraId="370D9C7D" w14:textId="77777777" w:rsidR="00CE6BD9" w:rsidRPr="00573E6C" w:rsidRDefault="00CE6BD9" w:rsidP="00CE6BD9">
      <w:pPr>
        <w:pStyle w:val="TF"/>
      </w:pPr>
      <w:r>
        <w:t>Figure 6.18.</w:t>
      </w:r>
      <w:r>
        <w:rPr>
          <w:rFonts w:hint="eastAsia"/>
          <w:lang w:eastAsia="zh-CN"/>
        </w:rPr>
        <w:t>4</w:t>
      </w:r>
      <w:r>
        <w:t>.1-</w:t>
      </w:r>
      <w:r w:rsidRPr="00573E6C">
        <w:t xml:space="preserve">1: </w:t>
      </w:r>
      <w:r>
        <w:t>Architecture for tight interworking between upgraded E-UTRAN base (supporting options 5, 7 and legacy LTE) and NG RAN anchored on NR (options 2, 4)</w:t>
      </w:r>
    </w:p>
    <w:p w14:paraId="6C035EB8" w14:textId="77777777" w:rsidR="00CE6BD9" w:rsidRDefault="00CE6BD9" w:rsidP="00AA2AB7">
      <w:pPr>
        <w:rPr>
          <w:lang w:eastAsia="ja-JP"/>
        </w:rPr>
      </w:pPr>
    </w:p>
    <w:sectPr w:rsidR="00CE6BD9" w:rsidSect="00F44690">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B641C" w14:textId="77777777" w:rsidR="00127CC2" w:rsidRDefault="00127CC2">
      <w:r>
        <w:separator/>
      </w:r>
    </w:p>
  </w:endnote>
  <w:endnote w:type="continuationSeparator" w:id="0">
    <w:p w14:paraId="13F4C8A1" w14:textId="77777777" w:rsidR="00127CC2" w:rsidRDefault="0012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179C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5A6CF1" w14:textId="77777777" w:rsidR="00F31FAB" w:rsidRDefault="00F31F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D412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95CFB">
      <w:rPr>
        <w:rStyle w:val="PageNumber"/>
      </w:rPr>
      <w:t>3</w:t>
    </w:r>
    <w:r>
      <w:rPr>
        <w:rStyle w:val="PageNumber"/>
      </w:rPr>
      <w:fldChar w:fldCharType="end"/>
    </w:r>
  </w:p>
  <w:p w14:paraId="2EAA18CA" w14:textId="77777777" w:rsidR="00F31FAB" w:rsidRDefault="00F31F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B973C" w14:textId="77777777" w:rsidR="00127CC2" w:rsidRDefault="00127CC2">
      <w:r>
        <w:separator/>
      </w:r>
    </w:p>
  </w:footnote>
  <w:footnote w:type="continuationSeparator" w:id="0">
    <w:p w14:paraId="3979A5B6" w14:textId="77777777" w:rsidR="00127CC2" w:rsidRDefault="00127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9C09" w14:textId="77777777" w:rsidR="00F31FAB" w:rsidRDefault="00F31FAB">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87BD9"/>
    <w:multiLevelType w:val="hybridMultilevel"/>
    <w:tmpl w:val="DF045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A71EEC"/>
    <w:multiLevelType w:val="hybridMultilevel"/>
    <w:tmpl w:val="43A81090"/>
    <w:lvl w:ilvl="0" w:tplc="62CA6DCA">
      <w:start w:val="3"/>
      <w:numFmt w:val="bullet"/>
      <w:lvlText w:val="-"/>
      <w:lvlJc w:val="left"/>
      <w:pPr>
        <w:ind w:left="644" w:hanging="360"/>
      </w:pPr>
      <w:rPr>
        <w:rFonts w:ascii="CG Times (WN)" w:eastAsia="MS Mincho"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C2647C4"/>
    <w:multiLevelType w:val="hybridMultilevel"/>
    <w:tmpl w:val="F1862C0E"/>
    <w:lvl w:ilvl="0" w:tplc="EF94C046">
      <w:start w:val="1"/>
      <w:numFmt w:val="low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6"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4C5C27"/>
    <w:multiLevelType w:val="hybridMultilevel"/>
    <w:tmpl w:val="A78AD8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30"/>
  </w:num>
  <w:num w:numId="6">
    <w:abstractNumId w:val="9"/>
  </w:num>
  <w:num w:numId="7">
    <w:abstractNumId w:val="29"/>
  </w:num>
  <w:num w:numId="8">
    <w:abstractNumId w:val="26"/>
  </w:num>
  <w:num w:numId="9">
    <w:abstractNumId w:val="24"/>
  </w:num>
  <w:num w:numId="10">
    <w:abstractNumId w:val="13"/>
  </w:num>
  <w:num w:numId="11">
    <w:abstractNumId w:val="32"/>
  </w:num>
  <w:num w:numId="12">
    <w:abstractNumId w:val="2"/>
  </w:num>
  <w:num w:numId="13">
    <w:abstractNumId w:val="12"/>
  </w:num>
  <w:num w:numId="14">
    <w:abstractNumId w:val="27"/>
  </w:num>
  <w:num w:numId="15">
    <w:abstractNumId w:val="23"/>
  </w:num>
  <w:num w:numId="16">
    <w:abstractNumId w:val="3"/>
  </w:num>
  <w:num w:numId="17">
    <w:abstractNumId w:val="14"/>
  </w:num>
  <w:num w:numId="18">
    <w:abstractNumId w:val="11"/>
  </w:num>
  <w:num w:numId="19">
    <w:abstractNumId w:val="18"/>
  </w:num>
  <w:num w:numId="20">
    <w:abstractNumId w:val="19"/>
  </w:num>
  <w:num w:numId="21">
    <w:abstractNumId w:val="1"/>
  </w:num>
  <w:num w:numId="22">
    <w:abstractNumId w:val="6"/>
  </w:num>
  <w:num w:numId="23">
    <w:abstractNumId w:val="0"/>
  </w:num>
  <w:num w:numId="24">
    <w:abstractNumId w:val="5"/>
  </w:num>
  <w:num w:numId="25">
    <w:abstractNumId w:val="10"/>
  </w:num>
  <w:num w:numId="26">
    <w:abstractNumId w:val="20"/>
  </w:num>
  <w:num w:numId="27">
    <w:abstractNumId w:val="8"/>
  </w:num>
  <w:num w:numId="28">
    <w:abstractNumId w:val="4"/>
  </w:num>
  <w:num w:numId="29">
    <w:abstractNumId w:val="21"/>
  </w:num>
  <w:num w:numId="30">
    <w:abstractNumId w:val="31"/>
  </w:num>
  <w:num w:numId="31">
    <w:abstractNumId w:val="17"/>
  </w:num>
  <w:num w:numId="32">
    <w:abstractNumId w:val="25"/>
  </w:num>
  <w:num w:numId="3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2EE"/>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261B"/>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049"/>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7D8"/>
    <w:rsid w:val="00106E70"/>
    <w:rsid w:val="0010741C"/>
    <w:rsid w:val="00107CAD"/>
    <w:rsid w:val="00107D72"/>
    <w:rsid w:val="00107F58"/>
    <w:rsid w:val="001100A3"/>
    <w:rsid w:val="001113B8"/>
    <w:rsid w:val="00111CF7"/>
    <w:rsid w:val="001124AF"/>
    <w:rsid w:val="00112A79"/>
    <w:rsid w:val="00112C1A"/>
    <w:rsid w:val="00113B55"/>
    <w:rsid w:val="00113CA2"/>
    <w:rsid w:val="00116016"/>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27CC2"/>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8F9"/>
    <w:rsid w:val="00171AE5"/>
    <w:rsid w:val="001724F6"/>
    <w:rsid w:val="001736D1"/>
    <w:rsid w:val="00173980"/>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69D"/>
    <w:rsid w:val="001C7CED"/>
    <w:rsid w:val="001D1022"/>
    <w:rsid w:val="001D4223"/>
    <w:rsid w:val="001D56BF"/>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1C6"/>
    <w:rsid w:val="001F1AD9"/>
    <w:rsid w:val="001F2D79"/>
    <w:rsid w:val="001F3820"/>
    <w:rsid w:val="001F4D3E"/>
    <w:rsid w:val="001F4FD5"/>
    <w:rsid w:val="001F6092"/>
    <w:rsid w:val="001F6DD2"/>
    <w:rsid w:val="00200EF1"/>
    <w:rsid w:val="002013F2"/>
    <w:rsid w:val="00201474"/>
    <w:rsid w:val="00202106"/>
    <w:rsid w:val="00202226"/>
    <w:rsid w:val="00202AD9"/>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0C62"/>
    <w:rsid w:val="0029189C"/>
    <w:rsid w:val="00291F3E"/>
    <w:rsid w:val="00294D59"/>
    <w:rsid w:val="00295974"/>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0C94"/>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3B50"/>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37E40"/>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A5"/>
    <w:rsid w:val="00351AB1"/>
    <w:rsid w:val="00352999"/>
    <w:rsid w:val="00352E52"/>
    <w:rsid w:val="00354855"/>
    <w:rsid w:val="00354C43"/>
    <w:rsid w:val="00355393"/>
    <w:rsid w:val="00356CE8"/>
    <w:rsid w:val="00360644"/>
    <w:rsid w:val="00360A98"/>
    <w:rsid w:val="00361803"/>
    <w:rsid w:val="00361BE9"/>
    <w:rsid w:val="00361FE9"/>
    <w:rsid w:val="00362843"/>
    <w:rsid w:val="003633AD"/>
    <w:rsid w:val="00363CDE"/>
    <w:rsid w:val="0036472C"/>
    <w:rsid w:val="00366AB7"/>
    <w:rsid w:val="003708C7"/>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1422"/>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1E2F"/>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5FCF"/>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DF"/>
    <w:rsid w:val="0045099B"/>
    <w:rsid w:val="00450D7A"/>
    <w:rsid w:val="00450F43"/>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424"/>
    <w:rsid w:val="00491505"/>
    <w:rsid w:val="004935B1"/>
    <w:rsid w:val="004945D0"/>
    <w:rsid w:val="00495CFB"/>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5BCE"/>
    <w:rsid w:val="004D6C2E"/>
    <w:rsid w:val="004D6F6C"/>
    <w:rsid w:val="004D718D"/>
    <w:rsid w:val="004D7753"/>
    <w:rsid w:val="004D7FE4"/>
    <w:rsid w:val="004E06CF"/>
    <w:rsid w:val="004E1837"/>
    <w:rsid w:val="004E203F"/>
    <w:rsid w:val="004E28A5"/>
    <w:rsid w:val="004E352E"/>
    <w:rsid w:val="004E3CFE"/>
    <w:rsid w:val="004E4916"/>
    <w:rsid w:val="004E4D81"/>
    <w:rsid w:val="004E578E"/>
    <w:rsid w:val="004E66EB"/>
    <w:rsid w:val="004E688F"/>
    <w:rsid w:val="004E7310"/>
    <w:rsid w:val="004F02C8"/>
    <w:rsid w:val="004F0454"/>
    <w:rsid w:val="004F0550"/>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55E"/>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5B73"/>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437"/>
    <w:rsid w:val="005A6F5B"/>
    <w:rsid w:val="005A7261"/>
    <w:rsid w:val="005B0791"/>
    <w:rsid w:val="005B2475"/>
    <w:rsid w:val="005B28C0"/>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E61"/>
    <w:rsid w:val="005D5F52"/>
    <w:rsid w:val="005D6185"/>
    <w:rsid w:val="005D61C1"/>
    <w:rsid w:val="005D6278"/>
    <w:rsid w:val="005D7BE6"/>
    <w:rsid w:val="005D7D0B"/>
    <w:rsid w:val="005E072E"/>
    <w:rsid w:val="005E0861"/>
    <w:rsid w:val="005E0B28"/>
    <w:rsid w:val="005E42CA"/>
    <w:rsid w:val="005E4A84"/>
    <w:rsid w:val="005E4B6B"/>
    <w:rsid w:val="005E5210"/>
    <w:rsid w:val="005E6811"/>
    <w:rsid w:val="005E74CE"/>
    <w:rsid w:val="005E7A57"/>
    <w:rsid w:val="005E7C39"/>
    <w:rsid w:val="005F076D"/>
    <w:rsid w:val="005F2765"/>
    <w:rsid w:val="005F2DDA"/>
    <w:rsid w:val="005F318C"/>
    <w:rsid w:val="005F431D"/>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400C"/>
    <w:rsid w:val="00615316"/>
    <w:rsid w:val="00615950"/>
    <w:rsid w:val="00615D15"/>
    <w:rsid w:val="00617EC8"/>
    <w:rsid w:val="006203F1"/>
    <w:rsid w:val="00620463"/>
    <w:rsid w:val="00620C29"/>
    <w:rsid w:val="00620E21"/>
    <w:rsid w:val="006219BD"/>
    <w:rsid w:val="00621BA9"/>
    <w:rsid w:val="00622C27"/>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1BF"/>
    <w:rsid w:val="006443ED"/>
    <w:rsid w:val="0064636B"/>
    <w:rsid w:val="006464A8"/>
    <w:rsid w:val="0064655E"/>
    <w:rsid w:val="006518A2"/>
    <w:rsid w:val="00652F79"/>
    <w:rsid w:val="00653BE5"/>
    <w:rsid w:val="00655C05"/>
    <w:rsid w:val="00657A14"/>
    <w:rsid w:val="00657C2D"/>
    <w:rsid w:val="0066028E"/>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5B05"/>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371"/>
    <w:rsid w:val="006905BB"/>
    <w:rsid w:val="00690C80"/>
    <w:rsid w:val="006912B6"/>
    <w:rsid w:val="00691BA3"/>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56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D42"/>
    <w:rsid w:val="006D3A00"/>
    <w:rsid w:val="006D46E9"/>
    <w:rsid w:val="006D560B"/>
    <w:rsid w:val="006D5D95"/>
    <w:rsid w:val="006D611F"/>
    <w:rsid w:val="006D6EA9"/>
    <w:rsid w:val="006D7C6C"/>
    <w:rsid w:val="006D7EFD"/>
    <w:rsid w:val="006E016F"/>
    <w:rsid w:val="006E0BCE"/>
    <w:rsid w:val="006E13FA"/>
    <w:rsid w:val="006E2066"/>
    <w:rsid w:val="006E25C3"/>
    <w:rsid w:val="006E2FE3"/>
    <w:rsid w:val="006E42E7"/>
    <w:rsid w:val="006E50F8"/>
    <w:rsid w:val="006E5D1C"/>
    <w:rsid w:val="006E61C2"/>
    <w:rsid w:val="006E6B6C"/>
    <w:rsid w:val="006E70B5"/>
    <w:rsid w:val="006E7CD2"/>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3734"/>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4F1E"/>
    <w:rsid w:val="007452FD"/>
    <w:rsid w:val="007458EF"/>
    <w:rsid w:val="0074654A"/>
    <w:rsid w:val="00747190"/>
    <w:rsid w:val="00747F11"/>
    <w:rsid w:val="0075037F"/>
    <w:rsid w:val="00750684"/>
    <w:rsid w:val="00750E08"/>
    <w:rsid w:val="007526EB"/>
    <w:rsid w:val="007538A7"/>
    <w:rsid w:val="007567D3"/>
    <w:rsid w:val="0075749A"/>
    <w:rsid w:val="007613AD"/>
    <w:rsid w:val="00761B0E"/>
    <w:rsid w:val="00761F4B"/>
    <w:rsid w:val="00766EA4"/>
    <w:rsid w:val="0077344F"/>
    <w:rsid w:val="0077433D"/>
    <w:rsid w:val="00774800"/>
    <w:rsid w:val="00774CEF"/>
    <w:rsid w:val="00776693"/>
    <w:rsid w:val="0077770C"/>
    <w:rsid w:val="00777B45"/>
    <w:rsid w:val="00781EB9"/>
    <w:rsid w:val="007821E5"/>
    <w:rsid w:val="00783470"/>
    <w:rsid w:val="007839DA"/>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1F48"/>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598"/>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3"/>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0CF1"/>
    <w:rsid w:val="00841930"/>
    <w:rsid w:val="00841E12"/>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6CB"/>
    <w:rsid w:val="008C18E9"/>
    <w:rsid w:val="008C1D74"/>
    <w:rsid w:val="008C2A6A"/>
    <w:rsid w:val="008C371C"/>
    <w:rsid w:val="008C3A95"/>
    <w:rsid w:val="008C4A4D"/>
    <w:rsid w:val="008C4DC4"/>
    <w:rsid w:val="008C555F"/>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7BF"/>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508"/>
    <w:rsid w:val="009208D1"/>
    <w:rsid w:val="00920D83"/>
    <w:rsid w:val="0092276C"/>
    <w:rsid w:val="00922E0F"/>
    <w:rsid w:val="009259DE"/>
    <w:rsid w:val="00926543"/>
    <w:rsid w:val="00926D63"/>
    <w:rsid w:val="009271A2"/>
    <w:rsid w:val="00930600"/>
    <w:rsid w:val="00931E5C"/>
    <w:rsid w:val="009322CE"/>
    <w:rsid w:val="0093234C"/>
    <w:rsid w:val="009327DB"/>
    <w:rsid w:val="00932B26"/>
    <w:rsid w:val="009344AA"/>
    <w:rsid w:val="00934635"/>
    <w:rsid w:val="009351F6"/>
    <w:rsid w:val="009354C5"/>
    <w:rsid w:val="009355AF"/>
    <w:rsid w:val="00936012"/>
    <w:rsid w:val="00936AA5"/>
    <w:rsid w:val="00940A8B"/>
    <w:rsid w:val="009413CA"/>
    <w:rsid w:val="009417A5"/>
    <w:rsid w:val="0094237C"/>
    <w:rsid w:val="00942546"/>
    <w:rsid w:val="0094261F"/>
    <w:rsid w:val="00942DB2"/>
    <w:rsid w:val="0094315F"/>
    <w:rsid w:val="009433DB"/>
    <w:rsid w:val="00943424"/>
    <w:rsid w:val="00946002"/>
    <w:rsid w:val="0094702D"/>
    <w:rsid w:val="0094726F"/>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6F10"/>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48D"/>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578"/>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330C"/>
    <w:rsid w:val="009D4562"/>
    <w:rsid w:val="009D4DB9"/>
    <w:rsid w:val="009D4DBF"/>
    <w:rsid w:val="009D5589"/>
    <w:rsid w:val="009D6032"/>
    <w:rsid w:val="009D60A4"/>
    <w:rsid w:val="009D69AD"/>
    <w:rsid w:val="009E142D"/>
    <w:rsid w:val="009E1BA7"/>
    <w:rsid w:val="009E2526"/>
    <w:rsid w:val="009E26AB"/>
    <w:rsid w:val="009E2BD6"/>
    <w:rsid w:val="009E365A"/>
    <w:rsid w:val="009E4076"/>
    <w:rsid w:val="009E44DB"/>
    <w:rsid w:val="009E5A4F"/>
    <w:rsid w:val="009E6B96"/>
    <w:rsid w:val="009E6BF3"/>
    <w:rsid w:val="009E70CB"/>
    <w:rsid w:val="009F115B"/>
    <w:rsid w:val="009F1A01"/>
    <w:rsid w:val="009F1C34"/>
    <w:rsid w:val="009F3358"/>
    <w:rsid w:val="009F3399"/>
    <w:rsid w:val="009F3B53"/>
    <w:rsid w:val="009F3EDF"/>
    <w:rsid w:val="009F46AD"/>
    <w:rsid w:val="009F676A"/>
    <w:rsid w:val="009F6B51"/>
    <w:rsid w:val="009F6E3C"/>
    <w:rsid w:val="00A023D1"/>
    <w:rsid w:val="00A02BE5"/>
    <w:rsid w:val="00A0632E"/>
    <w:rsid w:val="00A075D5"/>
    <w:rsid w:val="00A1002D"/>
    <w:rsid w:val="00A10340"/>
    <w:rsid w:val="00A11621"/>
    <w:rsid w:val="00A11922"/>
    <w:rsid w:val="00A122A3"/>
    <w:rsid w:val="00A136A1"/>
    <w:rsid w:val="00A1497A"/>
    <w:rsid w:val="00A15F4A"/>
    <w:rsid w:val="00A16017"/>
    <w:rsid w:val="00A16575"/>
    <w:rsid w:val="00A16746"/>
    <w:rsid w:val="00A16BB2"/>
    <w:rsid w:val="00A1702B"/>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E81"/>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2A4"/>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2A0B"/>
    <w:rsid w:val="00AD49F5"/>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2AFB"/>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74B"/>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576"/>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9D5"/>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3A99"/>
    <w:rsid w:val="00BB46D9"/>
    <w:rsid w:val="00BB5AC3"/>
    <w:rsid w:val="00BB6677"/>
    <w:rsid w:val="00BB7295"/>
    <w:rsid w:val="00BB7393"/>
    <w:rsid w:val="00BC057D"/>
    <w:rsid w:val="00BC0D17"/>
    <w:rsid w:val="00BC1C7F"/>
    <w:rsid w:val="00BC1DE0"/>
    <w:rsid w:val="00BC3119"/>
    <w:rsid w:val="00BC3998"/>
    <w:rsid w:val="00BC39E0"/>
    <w:rsid w:val="00BC41CA"/>
    <w:rsid w:val="00BC4361"/>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BAB"/>
    <w:rsid w:val="00BF0ECE"/>
    <w:rsid w:val="00BF21A4"/>
    <w:rsid w:val="00BF25C4"/>
    <w:rsid w:val="00BF318D"/>
    <w:rsid w:val="00BF34AF"/>
    <w:rsid w:val="00BF4DE9"/>
    <w:rsid w:val="00BF502D"/>
    <w:rsid w:val="00BF525D"/>
    <w:rsid w:val="00BF5E24"/>
    <w:rsid w:val="00BF67BE"/>
    <w:rsid w:val="00BF784A"/>
    <w:rsid w:val="00BF7EB2"/>
    <w:rsid w:val="00C00584"/>
    <w:rsid w:val="00C00732"/>
    <w:rsid w:val="00C0211E"/>
    <w:rsid w:val="00C029D7"/>
    <w:rsid w:val="00C02A5C"/>
    <w:rsid w:val="00C02B59"/>
    <w:rsid w:val="00C02F9F"/>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6C26"/>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06C"/>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BD9"/>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9A2"/>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560"/>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E791A"/>
    <w:rsid w:val="00DF14BF"/>
    <w:rsid w:val="00DF2455"/>
    <w:rsid w:val="00DF44AC"/>
    <w:rsid w:val="00DF4684"/>
    <w:rsid w:val="00DF54A7"/>
    <w:rsid w:val="00DF558C"/>
    <w:rsid w:val="00DF5844"/>
    <w:rsid w:val="00E0101F"/>
    <w:rsid w:val="00E02292"/>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174A"/>
    <w:rsid w:val="00E42F56"/>
    <w:rsid w:val="00E43132"/>
    <w:rsid w:val="00E439B3"/>
    <w:rsid w:val="00E43BB8"/>
    <w:rsid w:val="00E43D8A"/>
    <w:rsid w:val="00E44CD7"/>
    <w:rsid w:val="00E45182"/>
    <w:rsid w:val="00E456E7"/>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A8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87D1E"/>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E7815"/>
    <w:rsid w:val="00EF185F"/>
    <w:rsid w:val="00EF2E23"/>
    <w:rsid w:val="00EF4042"/>
    <w:rsid w:val="00EF4FFB"/>
    <w:rsid w:val="00EF5A8F"/>
    <w:rsid w:val="00EF5FC8"/>
    <w:rsid w:val="00EF678F"/>
    <w:rsid w:val="00EF6A71"/>
    <w:rsid w:val="00F0000C"/>
    <w:rsid w:val="00F03C74"/>
    <w:rsid w:val="00F03D3A"/>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1B9F"/>
    <w:rsid w:val="00F227FB"/>
    <w:rsid w:val="00F2413B"/>
    <w:rsid w:val="00F24763"/>
    <w:rsid w:val="00F24B31"/>
    <w:rsid w:val="00F26F40"/>
    <w:rsid w:val="00F27096"/>
    <w:rsid w:val="00F27361"/>
    <w:rsid w:val="00F306C9"/>
    <w:rsid w:val="00F30DE3"/>
    <w:rsid w:val="00F31FAB"/>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690"/>
    <w:rsid w:val="00F44BDE"/>
    <w:rsid w:val="00F4530E"/>
    <w:rsid w:val="00F46D95"/>
    <w:rsid w:val="00F47583"/>
    <w:rsid w:val="00F4759A"/>
    <w:rsid w:val="00F475A3"/>
    <w:rsid w:val="00F47708"/>
    <w:rsid w:val="00F5142E"/>
    <w:rsid w:val="00F519F7"/>
    <w:rsid w:val="00F51AAC"/>
    <w:rsid w:val="00F528C3"/>
    <w:rsid w:val="00F52AF6"/>
    <w:rsid w:val="00F53F26"/>
    <w:rsid w:val="00F54F0F"/>
    <w:rsid w:val="00F55EF8"/>
    <w:rsid w:val="00F565FC"/>
    <w:rsid w:val="00F6031F"/>
    <w:rsid w:val="00F61D30"/>
    <w:rsid w:val="00F62C03"/>
    <w:rsid w:val="00F62F9E"/>
    <w:rsid w:val="00F63955"/>
    <w:rsid w:val="00F648DE"/>
    <w:rsid w:val="00F65EB3"/>
    <w:rsid w:val="00F66025"/>
    <w:rsid w:val="00F678EE"/>
    <w:rsid w:val="00F67F48"/>
    <w:rsid w:val="00F71EA1"/>
    <w:rsid w:val="00F74A60"/>
    <w:rsid w:val="00F75FBE"/>
    <w:rsid w:val="00F77FF2"/>
    <w:rsid w:val="00F80D60"/>
    <w:rsid w:val="00F80E24"/>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240E"/>
    <w:rsid w:val="00FA2FD3"/>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91321D"/>
  <w15:docId w15:val="{25DFE64C-36CB-47AE-A33A-FE4739AE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690"/>
    <w:pPr>
      <w:spacing w:after="180"/>
    </w:pPr>
    <w:rPr>
      <w:rFonts w:ascii="Times New Roman" w:hAnsi="Times New Roman"/>
      <w:lang w:val="en-GB"/>
    </w:rPr>
  </w:style>
  <w:style w:type="paragraph" w:styleId="Heading1">
    <w:name w:val="heading 1"/>
    <w:aliases w:val="H1,h1"/>
    <w:next w:val="Normal"/>
    <w:qFormat/>
    <w:rsid w:val="00F4469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F44690"/>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F446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F44690"/>
    <w:pPr>
      <w:ind w:left="1418" w:hanging="1418"/>
      <w:outlineLvl w:val="3"/>
    </w:pPr>
    <w:rPr>
      <w:sz w:val="24"/>
    </w:rPr>
  </w:style>
  <w:style w:type="paragraph" w:styleId="Heading5">
    <w:name w:val="heading 5"/>
    <w:basedOn w:val="Heading4"/>
    <w:next w:val="Normal"/>
    <w:qFormat/>
    <w:rsid w:val="00F44690"/>
    <w:pPr>
      <w:ind w:left="1701" w:hanging="1701"/>
      <w:outlineLvl w:val="4"/>
    </w:pPr>
    <w:rPr>
      <w:sz w:val="22"/>
    </w:rPr>
  </w:style>
  <w:style w:type="paragraph" w:styleId="Heading6">
    <w:name w:val="heading 6"/>
    <w:basedOn w:val="H6"/>
    <w:next w:val="Normal"/>
    <w:qFormat/>
    <w:rsid w:val="00F44690"/>
    <w:pPr>
      <w:outlineLvl w:val="5"/>
    </w:pPr>
  </w:style>
  <w:style w:type="paragraph" w:styleId="Heading7">
    <w:name w:val="heading 7"/>
    <w:basedOn w:val="H6"/>
    <w:next w:val="Normal"/>
    <w:qFormat/>
    <w:rsid w:val="00F44690"/>
    <w:pPr>
      <w:outlineLvl w:val="6"/>
    </w:pPr>
  </w:style>
  <w:style w:type="paragraph" w:styleId="Heading8">
    <w:name w:val="heading 8"/>
    <w:basedOn w:val="Heading1"/>
    <w:next w:val="Normal"/>
    <w:qFormat/>
    <w:rsid w:val="00F44690"/>
    <w:pPr>
      <w:ind w:left="0" w:firstLine="0"/>
      <w:outlineLvl w:val="7"/>
    </w:pPr>
  </w:style>
  <w:style w:type="paragraph" w:styleId="Heading9">
    <w:name w:val="heading 9"/>
    <w:basedOn w:val="Heading8"/>
    <w:next w:val="Normal"/>
    <w:qFormat/>
    <w:rsid w:val="00F446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4690"/>
    <w:pPr>
      <w:ind w:left="1985" w:hanging="1985"/>
      <w:outlineLvl w:val="9"/>
    </w:pPr>
    <w:rPr>
      <w:sz w:val="20"/>
    </w:rPr>
  </w:style>
  <w:style w:type="paragraph" w:styleId="TOC8">
    <w:name w:val="toc 8"/>
    <w:basedOn w:val="TOC1"/>
    <w:semiHidden/>
    <w:rsid w:val="00F44690"/>
    <w:pPr>
      <w:spacing w:before="180"/>
      <w:ind w:left="2693" w:hanging="2693"/>
    </w:pPr>
    <w:rPr>
      <w:b/>
    </w:rPr>
  </w:style>
  <w:style w:type="paragraph" w:styleId="TOC1">
    <w:name w:val="toc 1"/>
    <w:uiPriority w:val="39"/>
    <w:rsid w:val="00F446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4469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44690"/>
    <w:pPr>
      <w:ind w:left="1701" w:hanging="1701"/>
    </w:pPr>
  </w:style>
  <w:style w:type="paragraph" w:styleId="TOC4">
    <w:name w:val="toc 4"/>
    <w:basedOn w:val="TOC3"/>
    <w:semiHidden/>
    <w:rsid w:val="00F44690"/>
    <w:pPr>
      <w:ind w:left="1418" w:hanging="1418"/>
    </w:pPr>
  </w:style>
  <w:style w:type="paragraph" w:styleId="TOC3">
    <w:name w:val="toc 3"/>
    <w:basedOn w:val="TOC2"/>
    <w:uiPriority w:val="39"/>
    <w:rsid w:val="00F44690"/>
    <w:pPr>
      <w:ind w:left="1134" w:hanging="1134"/>
    </w:pPr>
  </w:style>
  <w:style w:type="paragraph" w:styleId="TOC2">
    <w:name w:val="toc 2"/>
    <w:basedOn w:val="TOC1"/>
    <w:uiPriority w:val="39"/>
    <w:rsid w:val="00F44690"/>
    <w:pPr>
      <w:keepNext w:val="0"/>
      <w:spacing w:before="0"/>
      <w:ind w:left="851" w:hanging="851"/>
    </w:pPr>
    <w:rPr>
      <w:sz w:val="20"/>
    </w:rPr>
  </w:style>
  <w:style w:type="paragraph" w:styleId="Index2">
    <w:name w:val="index 2"/>
    <w:basedOn w:val="Index1"/>
    <w:semiHidden/>
    <w:rsid w:val="00F44690"/>
    <w:pPr>
      <w:ind w:left="284"/>
    </w:pPr>
  </w:style>
  <w:style w:type="paragraph" w:styleId="Index1">
    <w:name w:val="index 1"/>
    <w:basedOn w:val="Normal"/>
    <w:semiHidden/>
    <w:rsid w:val="00F44690"/>
    <w:pPr>
      <w:keepLines/>
      <w:spacing w:after="0"/>
    </w:pPr>
  </w:style>
  <w:style w:type="paragraph" w:customStyle="1" w:styleId="ZH">
    <w:name w:val="ZH"/>
    <w:rsid w:val="00F4469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44690"/>
    <w:pPr>
      <w:outlineLvl w:val="9"/>
    </w:pPr>
  </w:style>
  <w:style w:type="paragraph" w:styleId="ListNumber2">
    <w:name w:val="List Number 2"/>
    <w:basedOn w:val="ListNumber"/>
    <w:rsid w:val="00F44690"/>
    <w:pPr>
      <w:ind w:left="851"/>
    </w:pPr>
  </w:style>
  <w:style w:type="paragraph" w:styleId="ListNumber">
    <w:name w:val="List Number"/>
    <w:basedOn w:val="List"/>
    <w:rsid w:val="00F44690"/>
  </w:style>
  <w:style w:type="paragraph" w:styleId="List">
    <w:name w:val="List"/>
    <w:basedOn w:val="Normal"/>
    <w:link w:val="ListChar"/>
    <w:rsid w:val="00F44690"/>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44690"/>
    <w:pPr>
      <w:widowControl w:val="0"/>
    </w:pPr>
    <w:rPr>
      <w:rFonts w:ascii="Arial" w:hAnsi="Arial"/>
      <w:b/>
      <w:noProof/>
      <w:sz w:val="18"/>
      <w:lang w:val="en-GB"/>
    </w:rPr>
  </w:style>
  <w:style w:type="character" w:styleId="FootnoteReference">
    <w:name w:val="footnote reference"/>
    <w:semiHidden/>
    <w:rsid w:val="00F44690"/>
    <w:rPr>
      <w:b/>
      <w:position w:val="6"/>
      <w:sz w:val="16"/>
    </w:rPr>
  </w:style>
  <w:style w:type="paragraph" w:styleId="FootnoteText">
    <w:name w:val="footnote text"/>
    <w:basedOn w:val="Normal"/>
    <w:semiHidden/>
    <w:rsid w:val="00F44690"/>
    <w:pPr>
      <w:keepLines/>
      <w:spacing w:after="0"/>
      <w:ind w:left="454" w:hanging="454"/>
    </w:pPr>
    <w:rPr>
      <w:sz w:val="16"/>
    </w:rPr>
  </w:style>
  <w:style w:type="paragraph" w:customStyle="1" w:styleId="TAH">
    <w:name w:val="TAH"/>
    <w:basedOn w:val="TAC"/>
    <w:link w:val="TAHCar"/>
    <w:rsid w:val="00F44690"/>
    <w:rPr>
      <w:b/>
    </w:rPr>
  </w:style>
  <w:style w:type="paragraph" w:customStyle="1" w:styleId="TAC">
    <w:name w:val="TAC"/>
    <w:basedOn w:val="TAL"/>
    <w:rsid w:val="00F44690"/>
    <w:pPr>
      <w:jc w:val="center"/>
    </w:pPr>
  </w:style>
  <w:style w:type="paragraph" w:customStyle="1" w:styleId="TAL">
    <w:name w:val="TAL"/>
    <w:basedOn w:val="Normal"/>
    <w:link w:val="TALChar"/>
    <w:rsid w:val="00F44690"/>
    <w:pPr>
      <w:keepNext/>
      <w:keepLines/>
      <w:spacing w:after="0"/>
    </w:pPr>
    <w:rPr>
      <w:rFonts w:ascii="Arial" w:hAnsi="Arial"/>
      <w:sz w:val="18"/>
    </w:rPr>
  </w:style>
  <w:style w:type="paragraph" w:customStyle="1" w:styleId="TF">
    <w:name w:val="TF"/>
    <w:basedOn w:val="TH"/>
    <w:link w:val="TFChar"/>
    <w:rsid w:val="00F44690"/>
    <w:pPr>
      <w:keepNext w:val="0"/>
      <w:spacing w:before="0" w:after="240"/>
    </w:pPr>
  </w:style>
  <w:style w:type="paragraph" w:customStyle="1" w:styleId="TH">
    <w:name w:val="TH"/>
    <w:basedOn w:val="Normal"/>
    <w:link w:val="THChar"/>
    <w:rsid w:val="00F44690"/>
    <w:pPr>
      <w:keepNext/>
      <w:keepLines/>
      <w:spacing w:before="60"/>
      <w:jc w:val="center"/>
    </w:pPr>
    <w:rPr>
      <w:rFonts w:ascii="Arial" w:hAnsi="Arial"/>
      <w:b/>
    </w:rPr>
  </w:style>
  <w:style w:type="paragraph" w:customStyle="1" w:styleId="NO">
    <w:name w:val="NO"/>
    <w:basedOn w:val="Normal"/>
    <w:link w:val="NOZchn"/>
    <w:rsid w:val="00F44690"/>
    <w:pPr>
      <w:keepLines/>
      <w:ind w:left="1135" w:hanging="851"/>
    </w:pPr>
  </w:style>
  <w:style w:type="paragraph" w:styleId="TOC9">
    <w:name w:val="toc 9"/>
    <w:basedOn w:val="TOC8"/>
    <w:semiHidden/>
    <w:rsid w:val="00F44690"/>
    <w:pPr>
      <w:ind w:left="1418" w:hanging="1418"/>
    </w:pPr>
  </w:style>
  <w:style w:type="paragraph" w:customStyle="1" w:styleId="EX">
    <w:name w:val="EX"/>
    <w:basedOn w:val="Normal"/>
    <w:rsid w:val="00F44690"/>
    <w:pPr>
      <w:keepLines/>
      <w:ind w:left="1702" w:hanging="1418"/>
    </w:pPr>
  </w:style>
  <w:style w:type="paragraph" w:customStyle="1" w:styleId="FP">
    <w:name w:val="FP"/>
    <w:basedOn w:val="Normal"/>
    <w:rsid w:val="00F44690"/>
    <w:pPr>
      <w:spacing w:after="0"/>
    </w:pPr>
  </w:style>
  <w:style w:type="paragraph" w:customStyle="1" w:styleId="LD">
    <w:name w:val="LD"/>
    <w:rsid w:val="00F44690"/>
    <w:pPr>
      <w:keepNext/>
      <w:keepLines/>
      <w:spacing w:line="180" w:lineRule="exact"/>
    </w:pPr>
    <w:rPr>
      <w:rFonts w:ascii="MS LineDraw" w:hAnsi="MS LineDraw"/>
      <w:noProof/>
      <w:lang w:val="en-GB"/>
    </w:rPr>
  </w:style>
  <w:style w:type="paragraph" w:customStyle="1" w:styleId="NW">
    <w:name w:val="NW"/>
    <w:basedOn w:val="NO"/>
    <w:rsid w:val="00F44690"/>
    <w:pPr>
      <w:spacing w:after="0"/>
    </w:pPr>
  </w:style>
  <w:style w:type="paragraph" w:customStyle="1" w:styleId="EW">
    <w:name w:val="EW"/>
    <w:basedOn w:val="EX"/>
    <w:rsid w:val="00F44690"/>
    <w:pPr>
      <w:spacing w:after="0"/>
    </w:pPr>
  </w:style>
  <w:style w:type="paragraph" w:styleId="TOC6">
    <w:name w:val="toc 6"/>
    <w:basedOn w:val="TOC5"/>
    <w:next w:val="Normal"/>
    <w:semiHidden/>
    <w:rsid w:val="00F44690"/>
    <w:pPr>
      <w:ind w:left="1985" w:hanging="1985"/>
    </w:pPr>
  </w:style>
  <w:style w:type="paragraph" w:styleId="TOC7">
    <w:name w:val="toc 7"/>
    <w:basedOn w:val="TOC6"/>
    <w:next w:val="Normal"/>
    <w:semiHidden/>
    <w:rsid w:val="00F44690"/>
    <w:pPr>
      <w:ind w:left="2268" w:hanging="2268"/>
    </w:pPr>
  </w:style>
  <w:style w:type="paragraph" w:styleId="ListBullet2">
    <w:name w:val="List Bullet 2"/>
    <w:basedOn w:val="ListBullet"/>
    <w:rsid w:val="00F44690"/>
    <w:pPr>
      <w:ind w:left="851"/>
    </w:pPr>
  </w:style>
  <w:style w:type="paragraph" w:styleId="ListBullet">
    <w:name w:val="List Bullet"/>
    <w:basedOn w:val="List"/>
    <w:rsid w:val="00F44690"/>
  </w:style>
  <w:style w:type="paragraph" w:styleId="ListBullet3">
    <w:name w:val="List Bullet 3"/>
    <w:basedOn w:val="ListBullet2"/>
    <w:rsid w:val="00F44690"/>
    <w:pPr>
      <w:ind w:left="1135"/>
    </w:pPr>
  </w:style>
  <w:style w:type="paragraph" w:customStyle="1" w:styleId="EQ">
    <w:name w:val="EQ"/>
    <w:basedOn w:val="Normal"/>
    <w:next w:val="Normal"/>
    <w:rsid w:val="00F44690"/>
    <w:pPr>
      <w:keepLines/>
      <w:tabs>
        <w:tab w:val="center" w:pos="4536"/>
        <w:tab w:val="right" w:pos="9072"/>
      </w:tabs>
    </w:pPr>
    <w:rPr>
      <w:noProof/>
    </w:rPr>
  </w:style>
  <w:style w:type="paragraph" w:customStyle="1" w:styleId="NF">
    <w:name w:val="NF"/>
    <w:basedOn w:val="NO"/>
    <w:rsid w:val="00F44690"/>
    <w:pPr>
      <w:keepNext/>
      <w:spacing w:after="0"/>
    </w:pPr>
    <w:rPr>
      <w:rFonts w:ascii="Arial" w:hAnsi="Arial"/>
      <w:sz w:val="18"/>
    </w:rPr>
  </w:style>
  <w:style w:type="paragraph" w:customStyle="1" w:styleId="PL">
    <w:name w:val="PL"/>
    <w:rsid w:val="00F44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44690"/>
    <w:pPr>
      <w:jc w:val="right"/>
    </w:pPr>
  </w:style>
  <w:style w:type="paragraph" w:customStyle="1" w:styleId="TAN">
    <w:name w:val="TAN"/>
    <w:basedOn w:val="TAL"/>
    <w:rsid w:val="00F44690"/>
    <w:pPr>
      <w:ind w:left="851" w:hanging="851"/>
    </w:pPr>
  </w:style>
  <w:style w:type="paragraph" w:customStyle="1" w:styleId="ZA">
    <w:name w:val="ZA"/>
    <w:rsid w:val="00F446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446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44690"/>
    <w:pPr>
      <w:framePr w:wrap="notBeside" w:vAnchor="page" w:hAnchor="margin" w:y="15764"/>
      <w:widowControl w:val="0"/>
    </w:pPr>
    <w:rPr>
      <w:rFonts w:ascii="Arial" w:hAnsi="Arial"/>
      <w:noProof/>
      <w:sz w:val="32"/>
      <w:lang w:val="en-GB"/>
    </w:rPr>
  </w:style>
  <w:style w:type="paragraph" w:customStyle="1" w:styleId="ZU">
    <w:name w:val="ZU"/>
    <w:rsid w:val="00F446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44690"/>
    <w:pPr>
      <w:framePr w:wrap="notBeside" w:y="16161"/>
    </w:pPr>
  </w:style>
  <w:style w:type="character" w:customStyle="1" w:styleId="ZGSM">
    <w:name w:val="ZGSM"/>
    <w:rsid w:val="00F44690"/>
  </w:style>
  <w:style w:type="paragraph" w:styleId="List2">
    <w:name w:val="List 2"/>
    <w:basedOn w:val="List"/>
    <w:link w:val="List2Char"/>
    <w:rsid w:val="00F44690"/>
    <w:pPr>
      <w:ind w:left="851"/>
    </w:pPr>
  </w:style>
  <w:style w:type="paragraph" w:customStyle="1" w:styleId="ZG">
    <w:name w:val="ZG"/>
    <w:rsid w:val="00F44690"/>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F44690"/>
    <w:pPr>
      <w:ind w:left="1135"/>
    </w:pPr>
  </w:style>
  <w:style w:type="paragraph" w:styleId="List4">
    <w:name w:val="List 4"/>
    <w:basedOn w:val="List3"/>
    <w:rsid w:val="00F44690"/>
    <w:pPr>
      <w:ind w:left="1418"/>
    </w:pPr>
  </w:style>
  <w:style w:type="paragraph" w:styleId="List5">
    <w:name w:val="List 5"/>
    <w:basedOn w:val="List4"/>
    <w:rsid w:val="00F44690"/>
    <w:pPr>
      <w:ind w:left="1702"/>
    </w:pPr>
  </w:style>
  <w:style w:type="paragraph" w:customStyle="1" w:styleId="EditorsNote">
    <w:name w:val="Editor's Note"/>
    <w:aliases w:val="EN"/>
    <w:basedOn w:val="NO"/>
    <w:link w:val="EditorsNoteChar"/>
    <w:qFormat/>
    <w:rsid w:val="00F44690"/>
    <w:rPr>
      <w:color w:val="FF0000"/>
    </w:rPr>
  </w:style>
  <w:style w:type="paragraph" w:styleId="ListBullet4">
    <w:name w:val="List Bullet 4"/>
    <w:basedOn w:val="ListBullet3"/>
    <w:rsid w:val="00F44690"/>
    <w:pPr>
      <w:ind w:left="1418"/>
    </w:pPr>
  </w:style>
  <w:style w:type="paragraph" w:styleId="ListBullet5">
    <w:name w:val="List Bullet 5"/>
    <w:basedOn w:val="ListBullet4"/>
    <w:rsid w:val="00F44690"/>
    <w:pPr>
      <w:ind w:left="1702"/>
    </w:pPr>
  </w:style>
  <w:style w:type="paragraph" w:customStyle="1" w:styleId="B1">
    <w:name w:val="B1"/>
    <w:basedOn w:val="List"/>
    <w:link w:val="B1Char"/>
    <w:rsid w:val="00F44690"/>
    <w:rPr>
      <w:lang w:eastAsia="ja-JP"/>
    </w:rPr>
  </w:style>
  <w:style w:type="paragraph" w:customStyle="1" w:styleId="B2">
    <w:name w:val="B2"/>
    <w:basedOn w:val="List2"/>
    <w:link w:val="B2Char"/>
    <w:rsid w:val="00F44690"/>
  </w:style>
  <w:style w:type="paragraph" w:customStyle="1" w:styleId="B3">
    <w:name w:val="B3"/>
    <w:basedOn w:val="List3"/>
    <w:link w:val="B3Char"/>
    <w:rsid w:val="00F44690"/>
  </w:style>
  <w:style w:type="paragraph" w:customStyle="1" w:styleId="B4">
    <w:name w:val="B4"/>
    <w:basedOn w:val="List4"/>
    <w:rsid w:val="00F44690"/>
  </w:style>
  <w:style w:type="paragraph" w:customStyle="1" w:styleId="B5">
    <w:name w:val="B5"/>
    <w:basedOn w:val="List5"/>
    <w:rsid w:val="00F44690"/>
  </w:style>
  <w:style w:type="paragraph" w:styleId="Footer">
    <w:name w:val="footer"/>
    <w:basedOn w:val="Header"/>
    <w:rsid w:val="00F44690"/>
    <w:pPr>
      <w:jc w:val="center"/>
    </w:pPr>
    <w:rPr>
      <w:i/>
    </w:rPr>
  </w:style>
  <w:style w:type="paragraph" w:customStyle="1" w:styleId="ZTD">
    <w:name w:val="ZTD"/>
    <w:basedOn w:val="ZB"/>
    <w:rsid w:val="00F44690"/>
    <w:pPr>
      <w:framePr w:hRule="auto" w:wrap="notBeside" w:y="852"/>
    </w:pPr>
    <w:rPr>
      <w:i w:val="0"/>
      <w:sz w:val="40"/>
    </w:rPr>
  </w:style>
  <w:style w:type="paragraph" w:customStyle="1" w:styleId="CRCoverPage">
    <w:name w:val="CR Cover Page"/>
    <w:rsid w:val="00F44690"/>
    <w:pPr>
      <w:spacing w:after="120"/>
    </w:pPr>
    <w:rPr>
      <w:rFonts w:ascii="Arial" w:hAnsi="Arial"/>
      <w:lang w:val="en-GB"/>
    </w:rPr>
  </w:style>
  <w:style w:type="paragraph" w:customStyle="1" w:styleId="tdoc-header">
    <w:name w:val="tdoc-header"/>
    <w:rsid w:val="00F44690"/>
    <w:rPr>
      <w:rFonts w:ascii="Arial" w:hAnsi="Arial"/>
      <w:noProof/>
      <w:sz w:val="24"/>
      <w:lang w:val="en-GB"/>
    </w:rPr>
  </w:style>
  <w:style w:type="character" w:styleId="Hyperlink">
    <w:name w:val="Hyperlink"/>
    <w:rsid w:val="00F44690"/>
    <w:rPr>
      <w:color w:val="0000FF"/>
      <w:u w:val="single"/>
    </w:rPr>
  </w:style>
  <w:style w:type="character" w:styleId="CommentReference">
    <w:name w:val="annotation reference"/>
    <w:semiHidden/>
    <w:rsid w:val="00F44690"/>
    <w:rPr>
      <w:sz w:val="16"/>
    </w:rPr>
  </w:style>
  <w:style w:type="paragraph" w:styleId="CommentText">
    <w:name w:val="annotation text"/>
    <w:basedOn w:val="Normal"/>
    <w:semiHidden/>
    <w:rsid w:val="00F44690"/>
  </w:style>
  <w:style w:type="character" w:styleId="FollowedHyperlink">
    <w:name w:val="FollowedHyperlink"/>
    <w:rsid w:val="00F44690"/>
    <w:rPr>
      <w:color w:val="800080"/>
      <w:u w:val="single"/>
    </w:rPr>
  </w:style>
  <w:style w:type="paragraph" w:styleId="DocumentMap">
    <w:name w:val="Document Map"/>
    <w:basedOn w:val="Normal"/>
    <w:semiHidden/>
    <w:rsid w:val="00F44690"/>
    <w:pPr>
      <w:shd w:val="clear" w:color="auto" w:fill="000080"/>
    </w:pPr>
    <w:rPr>
      <w:rFonts w:ascii="Arial" w:eastAsia="MS Gothic" w:hAnsi="Arial"/>
    </w:rPr>
  </w:style>
  <w:style w:type="paragraph" w:customStyle="1" w:styleId="HDStyleLS">
    <w:name w:val="HDStyle_LS"/>
    <w:basedOn w:val="Header"/>
    <w:rsid w:val="00F44690"/>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F44690"/>
    <w:pPr>
      <w:overflowPunct w:val="0"/>
      <w:autoSpaceDE w:val="0"/>
      <w:autoSpaceDN w:val="0"/>
      <w:adjustRightInd w:val="0"/>
      <w:ind w:left="851"/>
      <w:textAlignment w:val="baseline"/>
    </w:pPr>
  </w:style>
  <w:style w:type="paragraph" w:customStyle="1" w:styleId="INDENT2">
    <w:name w:val="INDENT2"/>
    <w:basedOn w:val="Normal"/>
    <w:rsid w:val="00F44690"/>
    <w:pPr>
      <w:overflowPunct w:val="0"/>
      <w:autoSpaceDE w:val="0"/>
      <w:autoSpaceDN w:val="0"/>
      <w:adjustRightInd w:val="0"/>
      <w:ind w:left="1135" w:hanging="284"/>
      <w:textAlignment w:val="baseline"/>
    </w:pPr>
  </w:style>
  <w:style w:type="paragraph" w:customStyle="1" w:styleId="INDENT3">
    <w:name w:val="INDENT3"/>
    <w:basedOn w:val="Normal"/>
    <w:rsid w:val="00F446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44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44690"/>
    <w:pPr>
      <w:keepNext/>
      <w:keepLines/>
      <w:overflowPunct w:val="0"/>
      <w:autoSpaceDE w:val="0"/>
      <w:autoSpaceDN w:val="0"/>
      <w:adjustRightInd w:val="0"/>
      <w:textAlignment w:val="baseline"/>
    </w:pPr>
    <w:rPr>
      <w:b/>
    </w:rPr>
  </w:style>
  <w:style w:type="paragraph" w:customStyle="1" w:styleId="enumlev2">
    <w:name w:val="enumlev2"/>
    <w:basedOn w:val="Normal"/>
    <w:rsid w:val="00F44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4469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F44690"/>
    <w:pPr>
      <w:overflowPunct w:val="0"/>
      <w:autoSpaceDE w:val="0"/>
      <w:autoSpaceDN w:val="0"/>
      <w:adjustRightInd w:val="0"/>
      <w:textAlignment w:val="baseline"/>
    </w:pPr>
  </w:style>
  <w:style w:type="paragraph" w:customStyle="1" w:styleId="Guidance">
    <w:name w:val="Guidance"/>
    <w:basedOn w:val="Normal"/>
    <w:rsid w:val="00F44690"/>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F44690"/>
    <w:pPr>
      <w:overflowPunct w:val="0"/>
      <w:autoSpaceDE w:val="0"/>
      <w:autoSpaceDN w:val="0"/>
      <w:adjustRightInd w:val="0"/>
      <w:spacing w:after="220"/>
      <w:textAlignment w:val="baseline"/>
    </w:pPr>
    <w:rPr>
      <w:b/>
      <w:lang w:val="en-US"/>
    </w:rPr>
  </w:style>
  <w:style w:type="paragraph" w:customStyle="1" w:styleId="TOC91">
    <w:name w:val="TOC 91"/>
    <w:basedOn w:val="TOC8"/>
    <w:rsid w:val="00F44690"/>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F44690"/>
    <w:rPr>
      <w:rFonts w:ascii="Arial" w:hAnsi="Arial"/>
      <w:lang w:val="en-GB"/>
    </w:rPr>
  </w:style>
  <w:style w:type="paragraph" w:customStyle="1" w:styleId="berschrift2Head2A2">
    <w:name w:val="Überschrift 2.Head2A.2"/>
    <w:basedOn w:val="Heading1"/>
    <w:next w:val="Normal"/>
    <w:rsid w:val="00F44690"/>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F44690"/>
    <w:pPr>
      <w:spacing w:before="120"/>
      <w:outlineLvl w:val="2"/>
    </w:pPr>
    <w:rPr>
      <w:sz w:val="28"/>
      <w:lang w:eastAsia="de-DE"/>
    </w:rPr>
  </w:style>
  <w:style w:type="paragraph" w:customStyle="1" w:styleId="Reference">
    <w:name w:val="Reference"/>
    <w:basedOn w:val="Normal"/>
    <w:rsid w:val="00F44690"/>
    <w:pPr>
      <w:tabs>
        <w:tab w:val="num" w:pos="420"/>
      </w:tabs>
      <w:spacing w:after="0"/>
      <w:ind w:left="420" w:hanging="420"/>
    </w:pPr>
  </w:style>
  <w:style w:type="paragraph" w:customStyle="1" w:styleId="Bullets">
    <w:name w:val="Bullets"/>
    <w:basedOn w:val="BodyText"/>
    <w:rsid w:val="00F44690"/>
    <w:pPr>
      <w:widowControl w:val="0"/>
      <w:spacing w:after="120"/>
      <w:ind w:left="283" w:hanging="283"/>
    </w:pPr>
    <w:rPr>
      <w:lang w:eastAsia="de-DE"/>
    </w:rPr>
  </w:style>
  <w:style w:type="paragraph" w:styleId="BodyText">
    <w:name w:val="Body Text"/>
    <w:basedOn w:val="Normal"/>
    <w:rsid w:val="00F44690"/>
    <w:pPr>
      <w:overflowPunct w:val="0"/>
      <w:autoSpaceDE w:val="0"/>
      <w:autoSpaceDN w:val="0"/>
      <w:adjustRightInd w:val="0"/>
      <w:textAlignment w:val="baseline"/>
    </w:pPr>
  </w:style>
  <w:style w:type="paragraph" w:customStyle="1" w:styleId="BalloonText1">
    <w:name w:val="Balloon Text1"/>
    <w:basedOn w:val="Normal"/>
    <w:semiHidden/>
    <w:rsid w:val="00F44690"/>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F44690"/>
    <w:pPr>
      <w:spacing w:before="360" w:after="0" w:line="240" w:lineRule="atLeast"/>
      <w:jc w:val="center"/>
    </w:pPr>
    <w:rPr>
      <w:lang w:val="en-US"/>
    </w:rPr>
  </w:style>
  <w:style w:type="character" w:styleId="Emphasis">
    <w:name w:val="Emphasis"/>
    <w:qFormat/>
    <w:rsid w:val="00F44690"/>
    <w:rPr>
      <w:i/>
      <w:iCs/>
    </w:rPr>
  </w:style>
  <w:style w:type="paragraph" w:styleId="BodyTextIndent">
    <w:name w:val="Body Text Indent"/>
    <w:basedOn w:val="Normal"/>
    <w:rsid w:val="00F44690"/>
    <w:pPr>
      <w:ind w:leftChars="71" w:left="142"/>
    </w:pPr>
    <w:rPr>
      <w:lang w:eastAsia="ja-JP"/>
    </w:rPr>
  </w:style>
  <w:style w:type="paragraph" w:styleId="BodyTextIndent2">
    <w:name w:val="Body Text Indent 2"/>
    <w:basedOn w:val="Normal"/>
    <w:rsid w:val="00F44690"/>
    <w:pPr>
      <w:ind w:leftChars="100" w:left="200"/>
    </w:pPr>
    <w:rPr>
      <w:lang w:eastAsia="ja-JP"/>
    </w:rPr>
  </w:style>
  <w:style w:type="paragraph" w:styleId="BalloonText">
    <w:name w:val="Balloon Text"/>
    <w:basedOn w:val="Normal"/>
    <w:semiHidden/>
    <w:rsid w:val="00F44690"/>
    <w:rPr>
      <w:rFonts w:ascii="Arial" w:eastAsia="MS Gothic" w:hAnsi="Arial"/>
      <w:sz w:val="18"/>
      <w:szCs w:val="18"/>
    </w:rPr>
  </w:style>
  <w:style w:type="paragraph" w:styleId="BodyText2">
    <w:name w:val="Body Text 2"/>
    <w:basedOn w:val="Normal"/>
    <w:rsid w:val="00F44690"/>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Normal"/>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E6BD9"/>
    <w:rPr>
      <w:rFonts w:ascii="Arial" w:hAnsi="Arial"/>
      <w:b/>
      <w:lang w:val="en-GB"/>
    </w:rPr>
  </w:style>
  <w:style w:type="character" w:customStyle="1" w:styleId="TFChar">
    <w:name w:val="TF Char"/>
    <w:link w:val="TF"/>
    <w:rsid w:val="00CE6BD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8F36A-E8E9-43C5-8451-16B7213F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5</Pages>
  <Words>1194</Words>
  <Characters>6570</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61</cp:revision>
  <cp:lastPrinted>2016-06-23T21:29:00Z</cp:lastPrinted>
  <dcterms:created xsi:type="dcterms:W3CDTF">2016-08-22T10:39:00Z</dcterms:created>
  <dcterms:modified xsi:type="dcterms:W3CDTF">2016-08-23T13:03:00Z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